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D6" w:rsidRDefault="00C230D6" w:rsidP="00C230D6">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كلية العلوم الإسلامية/ قسم الحديث وعلومه</w:t>
      </w:r>
    </w:p>
    <w:p w:rsidR="00C230D6" w:rsidRDefault="00C230D6" w:rsidP="00C230D6">
      <w:pPr>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اسم المحاضر: </w:t>
      </w:r>
      <w:r>
        <w:rPr>
          <w:rFonts w:ascii="Simplified Arabic" w:hAnsi="Simplified Arabic" w:cs="Simplified Arabic"/>
          <w:sz w:val="32"/>
          <w:szCs w:val="32"/>
          <w:rtl/>
          <w:lang w:bidi="ar-IQ"/>
        </w:rPr>
        <w:t>أ. م. د ثامر عبدالله داود</w:t>
      </w:r>
    </w:p>
    <w:p w:rsidR="00C230D6" w:rsidRDefault="00C230D6" w:rsidP="00C230D6">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المرحلة: </w:t>
      </w:r>
      <w:r>
        <w:rPr>
          <w:rFonts w:ascii="Simplified Arabic" w:hAnsi="Simplified Arabic" w:cs="Simplified Arabic"/>
          <w:sz w:val="32"/>
          <w:szCs w:val="32"/>
          <w:rtl/>
          <w:lang w:bidi="ar-IQ"/>
        </w:rPr>
        <w:t>الأولى</w:t>
      </w:r>
    </w:p>
    <w:p w:rsidR="00C230D6" w:rsidRDefault="00C230D6" w:rsidP="00C230D6">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اسم المادة بالإنكليزي: </w:t>
      </w:r>
      <w:r>
        <w:rPr>
          <w:rFonts w:ascii="Simplified Arabic" w:hAnsi="Simplified Arabic" w:cs="Simplified Arabic"/>
          <w:sz w:val="32"/>
          <w:szCs w:val="32"/>
          <w:lang w:bidi="ar-IQ"/>
        </w:rPr>
        <w:t>Hadith notation</w:t>
      </w:r>
    </w:p>
    <w:p w:rsidR="00C230D6" w:rsidRDefault="00C230D6" w:rsidP="00C230D6">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اسم المادة بالعربي: </w:t>
      </w:r>
      <w:r>
        <w:rPr>
          <w:rFonts w:ascii="Simplified Arabic" w:hAnsi="Simplified Arabic" w:cs="Simplified Arabic"/>
          <w:sz w:val="32"/>
          <w:szCs w:val="32"/>
          <w:rtl/>
          <w:lang w:bidi="ar-IQ"/>
        </w:rPr>
        <w:t>تدوين الحديث</w:t>
      </w:r>
      <w:r>
        <w:rPr>
          <w:rFonts w:ascii="Simplified Arabic" w:hAnsi="Simplified Arabic" w:cs="Simplified Arabic"/>
          <w:b/>
          <w:bCs/>
          <w:sz w:val="32"/>
          <w:szCs w:val="32"/>
          <w:rtl/>
          <w:lang w:bidi="ar-IQ"/>
        </w:rPr>
        <w:t>.</w:t>
      </w:r>
    </w:p>
    <w:p w:rsidR="00C230D6" w:rsidRDefault="00C230D6" w:rsidP="00C230D6">
      <w:pPr>
        <w:jc w:val="both"/>
        <w:rPr>
          <w:rFonts w:ascii="Simplified Arabic" w:hAnsi="Simplified Arabic" w:cs="Simplified Arabic"/>
          <w:sz w:val="32"/>
          <w:szCs w:val="32"/>
          <w:rtl/>
          <w:lang w:bidi="fa-IR"/>
        </w:rPr>
      </w:pPr>
      <w:r>
        <w:rPr>
          <w:rFonts w:ascii="Simplified Arabic" w:hAnsi="Simplified Arabic" w:cs="Simplified Arabic"/>
          <w:b/>
          <w:bCs/>
          <w:sz w:val="32"/>
          <w:szCs w:val="32"/>
          <w:rtl/>
          <w:lang w:bidi="ar-IQ"/>
        </w:rPr>
        <w:t>مصدر او مصادر المحاضرة:</w:t>
      </w:r>
      <w:r>
        <w:rPr>
          <w:rFonts w:ascii="Simplified Arabic" w:hAnsi="Simplified Arabic" w:cs="Simplified Arabic"/>
          <w:sz w:val="28"/>
          <w:szCs w:val="28"/>
          <w:rtl/>
          <w:lang w:bidi="ar-IQ"/>
        </w:rPr>
        <w:t xml:space="preserve"> </w:t>
      </w:r>
      <w:r>
        <w:rPr>
          <w:rFonts w:ascii="Simplified Arabic" w:hAnsi="Simplified Arabic" w:cs="Simplified Arabic"/>
          <w:sz w:val="32"/>
          <w:szCs w:val="32"/>
          <w:rtl/>
          <w:lang w:bidi="fa-IR"/>
        </w:rPr>
        <w:t>الفصول في الأصول للجصاص، وإحكام الأحكام، وإعلام الموقعين، و فتاوی ابن تيمية، والبحر المحيط، ومسند أحمد، وفتاوي ابن تيمية، والأنوار الكاشفة، والتمييز لمسلم، وتاریخ ابن خلدون، وتقييد العلم للخطيب البغدادي، والأوسط في السنة لابن المنذر .</w:t>
      </w:r>
    </w:p>
    <w:p w:rsidR="00C230D6" w:rsidRDefault="00C230D6" w:rsidP="00C230D6">
      <w:pPr>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المحاضرة الخامسة: تكملة</w:t>
      </w:r>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rtl/>
          <w:lang w:bidi="ar-IQ"/>
        </w:rPr>
        <w:t>الظروف الخارجية المتصلة والمحيطة بالتصنيف:</w:t>
      </w:r>
    </w:p>
    <w:p w:rsidR="00C230D6" w:rsidRDefault="00C230D6" w:rsidP="00C230D6">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fa-IR"/>
        </w:rPr>
        <w:t xml:space="preserve">۲۱ - </w:t>
      </w:r>
      <w:r>
        <w:rPr>
          <w:rFonts w:ascii="Simplified Arabic" w:hAnsi="Simplified Arabic" w:cs="Simplified Arabic"/>
          <w:sz w:val="32"/>
          <w:szCs w:val="32"/>
          <w:rtl/>
          <w:lang w:bidi="ar-IQ"/>
        </w:rPr>
        <w:t>أن هذه الثروة الفقهية التشريعية والقضائية التي تقوم على الفهم والاستنباط من أدلة القرآن والسنة ، التي كانت ثمرة اجتهاد علماء الصحابة مدة سبعين سنة ، هي المادة الرئيسية التي اعتمد عليها الفقهاء من أبناء الصحابة ومن جاء بعدهم ، فما أجمع عليه الصحابة بعد النبي ة أجمع عليه الفقهاء بعدهم ؛ لأن إجماع الصحابة عليه دليل على أنه يستند إلى دليل قطعي لا يمكن الاختلاف فيه)</w:t>
      </w:r>
      <w:r>
        <w:rPr>
          <w:rStyle w:val="a3"/>
          <w:rFonts w:ascii="Simplified Arabic" w:hAnsi="Simplified Arabic" w:cs="Simplified Arabic"/>
          <w:sz w:val="32"/>
          <w:szCs w:val="32"/>
          <w:rtl/>
          <w:lang w:bidi="ar-IQ"/>
        </w:rPr>
        <w:t xml:space="preserve">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1"/>
      </w:r>
      <w:r>
        <w:rPr>
          <w:rStyle w:val="a3"/>
          <w:rFonts w:ascii="Simplified Arabic" w:hAnsi="Simplified Arabic" w:cs="Simplified Arabic"/>
          <w:sz w:val="32"/>
          <w:szCs w:val="32"/>
          <w:rtl/>
        </w:rPr>
        <w:t>)</w:t>
      </w:r>
      <w:r>
        <w:rPr>
          <w:rFonts w:ascii="Simplified Arabic" w:hAnsi="Simplified Arabic" w:cs="Simplified Arabic"/>
          <w:sz w:val="32"/>
          <w:szCs w:val="32"/>
          <w:rtl/>
          <w:lang w:bidi="ar-IQ"/>
        </w:rPr>
        <w:t xml:space="preserve"> ، وما اختلف فيه علماء الصحابة على رأيين ساغ وجاز لمن </w:t>
      </w:r>
    </w:p>
    <w:p w:rsidR="00C230D6" w:rsidRDefault="00C230D6" w:rsidP="00C230D6">
      <w:p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lastRenderedPageBreak/>
        <w:t>بعدهم الأخذ بأحد الرأيين</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2"/>
      </w:r>
      <w:r>
        <w:rPr>
          <w:rStyle w:val="a3"/>
          <w:rFonts w:ascii="Simplified Arabic" w:hAnsi="Simplified Arabic" w:cs="Simplified Arabic"/>
          <w:sz w:val="32"/>
          <w:szCs w:val="32"/>
          <w:rtl/>
        </w:rPr>
        <w:t>)</w:t>
      </w:r>
      <w:r>
        <w:rPr>
          <w:rFonts w:ascii="Simplified Arabic" w:hAnsi="Simplified Arabic" w:cs="Simplified Arabic"/>
          <w:sz w:val="32"/>
          <w:szCs w:val="32"/>
          <w:rtl/>
          <w:lang w:bidi="ar-IQ"/>
        </w:rPr>
        <w:t>؛ لأن اختلاف الصحابة فيه دليل على أن الأدلة التي استندوا إليها في اجتهادهم هي أدلة ظنية في دلالتها تحتمل أكثر من رأي ، تماما كما إذا اختلف رجال القانون في فهم نص ومادة قانونية لاحتمال النص القانوني أكثر من معنى . .فلو افترضنا جدلا أن السنة لم تدون أصلا لكانت هذه الثروة الفقهية والسوابق القضائية التي ازدهرت واشتهرت في القضاء والفتوى في عصر الصحابة - هذا العصر الذي استغرق تقريبا القرن الهجري الأول</w:t>
      </w:r>
      <w:r>
        <w:rPr>
          <w:rFonts w:ascii="Simplified Arabic" w:hAnsi="Simplified Arabic" w:cs="Simplified Arabic"/>
          <w:sz w:val="32"/>
          <w:szCs w:val="32"/>
          <w:rtl/>
          <w:lang w:bidi="fa-IR"/>
        </w:rPr>
        <w:t xml:space="preserve">- </w:t>
      </w:r>
      <w:r>
        <w:rPr>
          <w:rFonts w:ascii="Simplified Arabic" w:hAnsi="Simplified Arabic" w:cs="Simplified Arabic"/>
          <w:sz w:val="32"/>
          <w:szCs w:val="32"/>
          <w:rtl/>
          <w:lang w:bidi="ar-IQ"/>
        </w:rPr>
        <w:t xml:space="preserve">دلية كافية على صحة كثير من الأحاديث التي تم تدوينها .وإلا فكيف يقضي الصحابة في الأقاليم الإسلامية المختلفة بأحكام متطابقة في قضايا متشابهة دون أن يكون لديهم نصوص وأدلة قانونية قضائية واضحة صريحة متطابقة في دلالاتها ؟! وكيف تتفق </w:t>
      </w:r>
      <w:proofErr w:type="spellStart"/>
      <w:r>
        <w:rPr>
          <w:rFonts w:ascii="Simplified Arabic" w:hAnsi="Simplified Arabic" w:cs="Simplified Arabic"/>
          <w:sz w:val="32"/>
          <w:szCs w:val="32"/>
          <w:rtl/>
          <w:lang w:bidi="ar-IQ"/>
        </w:rPr>
        <w:t>فتوی</w:t>
      </w:r>
      <w:proofErr w:type="spellEnd"/>
      <w:r>
        <w:rPr>
          <w:rFonts w:ascii="Simplified Arabic" w:hAnsi="Simplified Arabic" w:cs="Simplified Arabic"/>
          <w:sz w:val="32"/>
          <w:szCs w:val="32"/>
          <w:rtl/>
          <w:lang w:bidi="ar-IQ"/>
        </w:rPr>
        <w:t xml:space="preserve"> صحابي في العراق مع </w:t>
      </w:r>
      <w:proofErr w:type="spellStart"/>
      <w:r>
        <w:rPr>
          <w:rFonts w:ascii="Simplified Arabic" w:hAnsi="Simplified Arabic" w:cs="Simplified Arabic"/>
          <w:sz w:val="32"/>
          <w:szCs w:val="32"/>
          <w:rtl/>
          <w:lang w:bidi="ar-IQ"/>
        </w:rPr>
        <w:t>فتوی</w:t>
      </w:r>
      <w:proofErr w:type="spellEnd"/>
      <w:r>
        <w:rPr>
          <w:rFonts w:ascii="Simplified Arabic" w:hAnsi="Simplified Arabic" w:cs="Simplified Arabic"/>
          <w:sz w:val="32"/>
          <w:szCs w:val="32"/>
          <w:rtl/>
          <w:lang w:bidi="ar-IQ"/>
        </w:rPr>
        <w:t xml:space="preserve"> صحابي آخر في المدينة مع ثالث في اليمن دون أن يكون معهم جميعا </w:t>
      </w:r>
      <w:proofErr w:type="spellStart"/>
      <w:r>
        <w:rPr>
          <w:rFonts w:ascii="Simplified Arabic" w:hAnsi="Simplified Arabic" w:cs="Simplified Arabic"/>
          <w:sz w:val="32"/>
          <w:szCs w:val="32"/>
          <w:rtl/>
          <w:lang w:bidi="ar-IQ"/>
        </w:rPr>
        <w:t>دلیل</w:t>
      </w:r>
      <w:proofErr w:type="spellEnd"/>
      <w:r>
        <w:rPr>
          <w:rFonts w:ascii="Simplified Arabic" w:hAnsi="Simplified Arabic" w:cs="Simplified Arabic"/>
          <w:sz w:val="32"/>
          <w:szCs w:val="32"/>
          <w:rtl/>
          <w:lang w:bidi="ar-IQ"/>
        </w:rPr>
        <w:t xml:space="preserve"> واحد متطابق في دلالته ؟!. وهذا هو السبب الذي جعل الإمام الشافعي يضع في شرط قبول الحديث المرسل أن يوافق ويتطابق في دلالته مع قول ورأي صحابي ؛ لأن ذلك يؤكد أن هذا الحديث المرسل كان معلوما لدى هذا الصحابي ، وأنه اعتمد عليه في استنباط رأيه الفقهي</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3"/>
      </w:r>
      <w:r>
        <w:rPr>
          <w:rStyle w:val="a3"/>
          <w:rFonts w:ascii="Simplified Arabic" w:hAnsi="Simplified Arabic" w:cs="Simplified Arabic"/>
          <w:sz w:val="32"/>
          <w:szCs w:val="32"/>
          <w:rtl/>
        </w:rPr>
        <w:t>)</w:t>
      </w:r>
      <w:r>
        <w:rPr>
          <w:rFonts w:ascii="Simplified Arabic" w:hAnsi="Simplified Arabic" w:cs="Simplified Arabic"/>
          <w:sz w:val="32"/>
          <w:szCs w:val="32"/>
          <w:rtl/>
          <w:lang w:bidi="ar-IQ"/>
        </w:rPr>
        <w:t xml:space="preserve"> .</w:t>
      </w:r>
    </w:p>
    <w:p w:rsidR="00C230D6" w:rsidRDefault="00C230D6" w:rsidP="00C230D6">
      <w:pPr>
        <w:jc w:val="both"/>
        <w:rPr>
          <w:rFonts w:ascii="Simplified Arabic" w:hAnsi="Simplified Arabic" w:cs="Simplified Arabic"/>
          <w:sz w:val="32"/>
          <w:szCs w:val="32"/>
          <w:rtl/>
        </w:rPr>
      </w:pPr>
      <w:r>
        <w:rPr>
          <w:rFonts w:ascii="Simplified Arabic" w:hAnsi="Simplified Arabic" w:cs="Simplified Arabic"/>
          <w:sz w:val="32"/>
          <w:szCs w:val="32"/>
          <w:rtl/>
          <w:lang w:bidi="fa-IR"/>
        </w:rPr>
        <w:t xml:space="preserve">۲۲ - </w:t>
      </w:r>
      <w:r>
        <w:rPr>
          <w:rFonts w:ascii="Simplified Arabic" w:hAnsi="Simplified Arabic" w:cs="Simplified Arabic"/>
          <w:sz w:val="32"/>
          <w:szCs w:val="32"/>
          <w:rtl/>
          <w:lang w:bidi="ar-IQ"/>
        </w:rPr>
        <w:t xml:space="preserve">أن علماء الحديث الذين قاموا بجمع السنة وتدوينها لم يكن هدفهم هو </w:t>
      </w:r>
      <w:proofErr w:type="spellStart"/>
      <w:r>
        <w:rPr>
          <w:rFonts w:ascii="Simplified Arabic" w:hAnsi="Simplified Arabic" w:cs="Simplified Arabic"/>
          <w:sz w:val="32"/>
          <w:szCs w:val="32"/>
          <w:rtl/>
          <w:lang w:bidi="ar-IQ"/>
        </w:rPr>
        <w:t>تقریر</w:t>
      </w:r>
      <w:proofErr w:type="spellEnd"/>
      <w:r>
        <w:rPr>
          <w:rFonts w:ascii="Simplified Arabic" w:hAnsi="Simplified Arabic" w:cs="Simplified Arabic"/>
          <w:sz w:val="32"/>
          <w:szCs w:val="32"/>
          <w:rtl/>
          <w:lang w:bidi="ar-IQ"/>
        </w:rPr>
        <w:t xml:space="preserve"> السنة وإثباتها، وإنما كان هدفهم جمعها وحمايتها من الضياع، فقد كانت السنة معلومة يحفظها علماء الصحابة، </w:t>
      </w:r>
      <w:proofErr w:type="spellStart"/>
      <w:r>
        <w:rPr>
          <w:rFonts w:ascii="Simplified Arabic" w:hAnsi="Simplified Arabic" w:cs="Simplified Arabic"/>
          <w:sz w:val="32"/>
          <w:szCs w:val="32"/>
          <w:rtl/>
          <w:lang w:bidi="ar-IQ"/>
        </w:rPr>
        <w:t>وفقهاؤهم</w:t>
      </w:r>
      <w:proofErr w:type="spellEnd"/>
      <w:r>
        <w:rPr>
          <w:rFonts w:ascii="Simplified Arabic" w:hAnsi="Simplified Arabic" w:cs="Simplified Arabic"/>
          <w:sz w:val="32"/>
          <w:szCs w:val="32"/>
          <w:rtl/>
          <w:lang w:bidi="ar-IQ"/>
        </w:rPr>
        <w:t xml:space="preserve">، وقضاتهم ، </w:t>
      </w:r>
      <w:proofErr w:type="spellStart"/>
      <w:r>
        <w:rPr>
          <w:rFonts w:ascii="Simplified Arabic" w:hAnsi="Simplified Arabic" w:cs="Simplified Arabic"/>
          <w:sz w:val="32"/>
          <w:szCs w:val="32"/>
          <w:rtl/>
          <w:lang w:bidi="ar-IQ"/>
        </w:rPr>
        <w:t>ويتدارسونها</w:t>
      </w:r>
      <w:proofErr w:type="spellEnd"/>
      <w:r>
        <w:rPr>
          <w:rFonts w:ascii="Simplified Arabic" w:hAnsi="Simplified Arabic" w:cs="Simplified Arabic"/>
          <w:sz w:val="32"/>
          <w:szCs w:val="32"/>
          <w:rtl/>
          <w:lang w:bidi="ar-IQ"/>
        </w:rPr>
        <w:t xml:space="preserve"> في مساجدهم، ويقضون بها في محاكمهم، ويعلمونها تلاميذهم، ولم يكن يستطيع أحد أن يصل </w:t>
      </w:r>
      <w:r>
        <w:rPr>
          <w:rFonts w:ascii="Simplified Arabic" w:hAnsi="Simplified Arabic" w:cs="Simplified Arabic"/>
          <w:sz w:val="32"/>
          <w:szCs w:val="32"/>
          <w:rtl/>
          <w:lang w:bidi="ar-IQ"/>
        </w:rPr>
        <w:lastRenderedPageBreak/>
        <w:t xml:space="preserve">درجة القضاء، أو الفتوى، أو التدريس والتعليم، إلا إذا شهد له العلماء الآخرون، وشيوخه السابقون، بأنه أهل لذلك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4"/>
      </w:r>
      <w:r>
        <w:rPr>
          <w:rStyle w:val="a3"/>
          <w:rFonts w:ascii="Simplified Arabic" w:hAnsi="Simplified Arabic" w:cs="Simplified Arabic"/>
          <w:sz w:val="32"/>
          <w:szCs w:val="32"/>
          <w:rtl/>
        </w:rPr>
        <w:t>)</w:t>
      </w:r>
      <w:r>
        <w:rPr>
          <w:rFonts w:ascii="Simplified Arabic" w:hAnsi="Simplified Arabic" w:cs="Simplified Arabic"/>
          <w:sz w:val="32"/>
          <w:szCs w:val="32"/>
          <w:rtl/>
        </w:rPr>
        <w:t>.</w:t>
      </w:r>
    </w:p>
    <w:p w:rsidR="00C230D6" w:rsidRDefault="00C230D6" w:rsidP="00C230D6">
      <w:pPr>
        <w:jc w:val="both"/>
        <w:rPr>
          <w:rFonts w:ascii="Simplified Arabic" w:hAnsi="Simplified Arabic" w:cs="Simplified Arabic"/>
          <w:sz w:val="32"/>
          <w:szCs w:val="32"/>
          <w:rtl/>
          <w:lang w:bidi="fa-IR"/>
        </w:rPr>
      </w:pPr>
      <w:r>
        <w:rPr>
          <w:rFonts w:ascii="Simplified Arabic" w:hAnsi="Simplified Arabic" w:cs="Simplified Arabic"/>
          <w:sz w:val="32"/>
          <w:szCs w:val="32"/>
          <w:rtl/>
          <w:lang w:bidi="ar-IQ"/>
        </w:rPr>
        <w:t>وكما حفظ المئات من أبناء الصحابة القرآن بالمشافهة دون أن يمتلك أكثرهم مصحفا مكتوبا ، فكذلك حفظوا كثيرا من الأحاديث والسن، وتعلموا تفسير القرآن ، وفقه السنة ، من علماء الصحابة الذين كانوا يدرسونهم في المساجد ويهيئونهم ليكونوا فقهاء ، وقضاة ، ومحدثين ، وقد أصبح هؤلاء التلاميذ قضاة وعلماء في عصر الصحابة وبوجود أساتذتهم من علماء الصحابة، وقد علم ابن عباس تلميذه وخادمه عكرمة القرآن والسن ثم بعد أن صار عالما أذن له بالإفتاء فكان يفتي الناس عند أستاذه ابن عباس وتحت إشرافه.</w:t>
      </w:r>
      <w:r>
        <w:rPr>
          <w:rStyle w:val="a3"/>
          <w:rFonts w:ascii="Simplified Arabic" w:hAnsi="Simplified Arabic" w:cs="Simplified Arabic"/>
          <w:sz w:val="32"/>
          <w:szCs w:val="32"/>
          <w:rtl/>
          <w:lang w:bidi="ar-IQ"/>
        </w:rPr>
        <w:t xml:space="preserve">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5"/>
      </w:r>
      <w:r>
        <w:rPr>
          <w:rStyle w:val="a3"/>
          <w:rFonts w:ascii="Simplified Arabic" w:hAnsi="Simplified Arabic" w:cs="Simplified Arabic"/>
          <w:sz w:val="32"/>
          <w:szCs w:val="32"/>
          <w:rtl/>
        </w:rPr>
        <w:t>)</w:t>
      </w:r>
      <w:r>
        <w:rPr>
          <w:rFonts w:ascii="Simplified Arabic" w:hAnsi="Simplified Arabic" w:cs="Simplified Arabic"/>
          <w:sz w:val="28"/>
          <w:szCs w:val="28"/>
          <w:rtl/>
          <w:lang w:bidi="ar-IQ"/>
        </w:rPr>
        <w:t xml:space="preserve"> </w:t>
      </w:r>
      <w:r>
        <w:rPr>
          <w:rFonts w:ascii="Simplified Arabic" w:hAnsi="Simplified Arabic" w:cs="Simplified Arabic"/>
          <w:sz w:val="32"/>
          <w:szCs w:val="32"/>
          <w:rtl/>
          <w:lang w:bidi="ar-IQ"/>
        </w:rPr>
        <w:t xml:space="preserve">،  كما أن علماء التابعين لم يكونوا يكتفون بسماع الحديث من صحابي واحد بل كانوا إذا سمعوا حديثا من أبي هريرة - مثلا - يذهبون ويسألون الصحابة الآخرين عن هذا الحديث كعائشة أم المؤمنين ، وعبد الله بن عمر ، وجابر بن  عبدالله ، وغيرهم من الصحابة الذين كانوا يصلون جميعا في مسجد النبي صلى الله عليه وسلم ، ويعلمون الناس فيه ، كما أنهم كانوا يقابلون رواية الصحابي لاحقا على روايته سابقا فقد كان بعض علماء التابعين يلازمون بعض الصحابة مدة طويلة ، فإذا روى الصحابي </w:t>
      </w:r>
      <w:proofErr w:type="spellStart"/>
      <w:r>
        <w:rPr>
          <w:rFonts w:ascii="Simplified Arabic" w:hAnsi="Simplified Arabic" w:cs="Simplified Arabic"/>
          <w:sz w:val="32"/>
          <w:szCs w:val="32"/>
          <w:rtl/>
          <w:lang w:bidi="ar-IQ"/>
        </w:rPr>
        <w:t>حديثأ</w:t>
      </w:r>
      <w:proofErr w:type="spellEnd"/>
      <w:r>
        <w:rPr>
          <w:rFonts w:ascii="Simplified Arabic" w:hAnsi="Simplified Arabic" w:cs="Simplified Arabic"/>
          <w:sz w:val="32"/>
          <w:szCs w:val="32"/>
          <w:rtl/>
          <w:lang w:bidi="ar-IQ"/>
        </w:rPr>
        <w:t xml:space="preserve"> ثم أعاده بعد سنوات كما رواه أول مرة علموا أنه حافظ لهذا الحديث ، وإذا اختلفت روايته علموا أنه لم يضبطه جيدا، وهكذا كان يفعل تلاميذ التابعين معهم ، فكانوا يقارنون بين </w:t>
      </w:r>
      <w:proofErr w:type="spellStart"/>
      <w:r>
        <w:rPr>
          <w:rFonts w:ascii="Simplified Arabic" w:hAnsi="Simplified Arabic" w:cs="Simplified Arabic"/>
          <w:sz w:val="32"/>
          <w:szCs w:val="32"/>
          <w:rtl/>
          <w:lang w:bidi="ar-IQ"/>
        </w:rPr>
        <w:t>روایات</w:t>
      </w:r>
      <w:proofErr w:type="spellEnd"/>
      <w:r>
        <w:rPr>
          <w:rFonts w:ascii="Simplified Arabic" w:hAnsi="Simplified Arabic" w:cs="Simplified Arabic"/>
          <w:sz w:val="32"/>
          <w:szCs w:val="32"/>
          <w:rtl/>
          <w:lang w:bidi="ar-IQ"/>
        </w:rPr>
        <w:t xml:space="preserve"> تلاميذ الصحابي الواحد فإذا اتفق - مثلا - تلاميذ عبد الله بن عمر </w:t>
      </w:r>
      <w:proofErr w:type="spellStart"/>
      <w:r>
        <w:rPr>
          <w:rFonts w:ascii="Simplified Arabic" w:hAnsi="Simplified Arabic" w:cs="Simplified Arabic"/>
          <w:sz w:val="32"/>
          <w:szCs w:val="32"/>
          <w:rtl/>
          <w:lang w:bidi="ar-IQ"/>
        </w:rPr>
        <w:t>کنافع</w:t>
      </w:r>
      <w:proofErr w:type="spellEnd"/>
      <w:r>
        <w:rPr>
          <w:rFonts w:ascii="Simplified Arabic" w:hAnsi="Simplified Arabic" w:cs="Simplified Arabic"/>
          <w:sz w:val="32"/>
          <w:szCs w:val="32"/>
          <w:rtl/>
          <w:lang w:bidi="ar-IQ"/>
        </w:rPr>
        <w:t xml:space="preserve"> وعمرو بن </w:t>
      </w:r>
      <w:proofErr w:type="spellStart"/>
      <w:r>
        <w:rPr>
          <w:rFonts w:ascii="Simplified Arabic" w:hAnsi="Simplified Arabic" w:cs="Simplified Arabic"/>
          <w:sz w:val="32"/>
          <w:szCs w:val="32"/>
          <w:rtl/>
          <w:lang w:bidi="ar-IQ"/>
        </w:rPr>
        <w:t>دینار</w:t>
      </w:r>
      <w:proofErr w:type="spellEnd"/>
      <w:r>
        <w:rPr>
          <w:rFonts w:ascii="Simplified Arabic" w:hAnsi="Simplified Arabic" w:cs="Simplified Arabic"/>
          <w:sz w:val="32"/>
          <w:szCs w:val="32"/>
          <w:rtl/>
          <w:lang w:bidi="ar-IQ"/>
        </w:rPr>
        <w:t xml:space="preserve"> وابنه </w:t>
      </w:r>
      <w:r>
        <w:rPr>
          <w:rFonts w:ascii="Simplified Arabic" w:hAnsi="Simplified Arabic" w:cs="Simplified Arabic"/>
          <w:sz w:val="32"/>
          <w:szCs w:val="32"/>
          <w:rtl/>
          <w:lang w:bidi="ar-IQ"/>
        </w:rPr>
        <w:lastRenderedPageBreak/>
        <w:t xml:space="preserve">سالم بن عبد الله بن عمر </w:t>
      </w:r>
      <w:proofErr w:type="spellStart"/>
      <w:r>
        <w:rPr>
          <w:rFonts w:ascii="Simplified Arabic" w:hAnsi="Simplified Arabic" w:cs="Simplified Arabic"/>
          <w:sz w:val="32"/>
          <w:szCs w:val="32"/>
          <w:rtl/>
          <w:lang w:bidi="ar-IQ"/>
        </w:rPr>
        <w:t>علی</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حدیث</w:t>
      </w:r>
      <w:proofErr w:type="spellEnd"/>
      <w:r>
        <w:rPr>
          <w:rFonts w:ascii="Simplified Arabic" w:hAnsi="Simplified Arabic" w:cs="Simplified Arabic"/>
          <w:sz w:val="32"/>
          <w:szCs w:val="32"/>
          <w:rtl/>
          <w:lang w:bidi="ar-IQ"/>
        </w:rPr>
        <w:t xml:space="preserve"> علموا أنهم قد حفظوه ، فإذا وجدوهم قد اختلفوا رجحوا رواية الأكثر من تلاميذ عبد الله بن عمر ، وبهذه الطريقة كان علماء الحديث يكتشفون الغلط والخطأ الذي قد يقع أحيانا في الرواية ، ويساعدهم على ذلك أن أكثر الأحاديث الصحيحة يروي كل </w:t>
      </w:r>
      <w:proofErr w:type="spellStart"/>
      <w:r>
        <w:rPr>
          <w:rFonts w:ascii="Simplified Arabic" w:hAnsi="Simplified Arabic" w:cs="Simplified Arabic"/>
          <w:sz w:val="32"/>
          <w:szCs w:val="32"/>
          <w:rtl/>
          <w:lang w:bidi="ar-IQ"/>
        </w:rPr>
        <w:t>حدیث</w:t>
      </w:r>
      <w:proofErr w:type="spellEnd"/>
      <w:r>
        <w:rPr>
          <w:rFonts w:ascii="Simplified Arabic" w:hAnsi="Simplified Arabic" w:cs="Simplified Arabic"/>
          <w:sz w:val="32"/>
          <w:szCs w:val="32"/>
          <w:rtl/>
          <w:lang w:bidi="ar-IQ"/>
        </w:rPr>
        <w:t xml:space="preserve"> منها جماعة من الصحابة- اثنان أو أكثر، وكل صحابي من حفاظ الحديث له كثير من الأتباع ، بعضهم يكتب حديثه، وبعضهم يحفظه عن ظهر قلب، وكل واحد من الأتباع له تلاميذ كثيرون، فنافع مولى ابن عمر- مثلا - له عشرات التلاميذ، وكلهم من كبار العلماء </w:t>
      </w:r>
      <w:proofErr w:type="spellStart"/>
      <w:r>
        <w:rPr>
          <w:rFonts w:ascii="Simplified Arabic" w:hAnsi="Simplified Arabic" w:cs="Simplified Arabic"/>
          <w:sz w:val="32"/>
          <w:szCs w:val="32"/>
          <w:rtl/>
          <w:lang w:bidi="ar-IQ"/>
        </w:rPr>
        <w:t>کمالك</w:t>
      </w:r>
      <w:proofErr w:type="spellEnd"/>
      <w:r>
        <w:rPr>
          <w:rFonts w:ascii="Simplified Arabic" w:hAnsi="Simplified Arabic" w:cs="Simplified Arabic"/>
          <w:sz w:val="32"/>
          <w:szCs w:val="32"/>
          <w:rtl/>
          <w:lang w:bidi="ar-IQ"/>
        </w:rPr>
        <w:t xml:space="preserve"> بن أنس، وابن جريج ، وعبيد الله بن عمر ، والليث بن سعد ، </w:t>
      </w:r>
      <w:proofErr w:type="spellStart"/>
      <w:r>
        <w:rPr>
          <w:rFonts w:ascii="Simplified Arabic" w:hAnsi="Simplified Arabic" w:cs="Simplified Arabic"/>
          <w:sz w:val="32"/>
          <w:szCs w:val="32"/>
          <w:rtl/>
          <w:lang w:bidi="ar-IQ"/>
        </w:rPr>
        <w:t>ویحیی</w:t>
      </w:r>
      <w:proofErr w:type="spellEnd"/>
      <w:r>
        <w:rPr>
          <w:rFonts w:ascii="Simplified Arabic" w:hAnsi="Simplified Arabic" w:cs="Simplified Arabic"/>
          <w:sz w:val="32"/>
          <w:szCs w:val="32"/>
          <w:rtl/>
          <w:lang w:bidi="ar-IQ"/>
        </w:rPr>
        <w:t xml:space="preserve"> ابن سعيد ، وابن عون ... إلخ وهؤلاء كلهم حفظوا وكتبوا أحاديث نافع ، فبمقارنة رواياتهم عن نافع يظهر إن كان هناك خطأ في رواية أحدهم أم لا</w:t>
      </w:r>
      <w:r>
        <w:rPr>
          <w:rFonts w:ascii="Simplified Arabic" w:hAnsi="Simplified Arabic" w:cs="Simplified Arabic"/>
          <w:sz w:val="32"/>
          <w:szCs w:val="32"/>
          <w:rtl/>
          <w:lang w:bidi="fa-IR"/>
        </w:rPr>
        <w:t>.</w:t>
      </w:r>
      <w:r>
        <w:rPr>
          <w:rStyle w:val="a3"/>
          <w:rFonts w:ascii="Simplified Arabic" w:hAnsi="Simplified Arabic" w:cs="Simplified Arabic"/>
          <w:sz w:val="32"/>
          <w:szCs w:val="32"/>
          <w:rtl/>
          <w:lang w:bidi="fa-IR"/>
        </w:rPr>
        <w:t xml:space="preserve">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6"/>
      </w:r>
      <w:r>
        <w:rPr>
          <w:rStyle w:val="a3"/>
          <w:rFonts w:ascii="Simplified Arabic" w:hAnsi="Simplified Arabic" w:cs="Simplified Arabic"/>
          <w:sz w:val="32"/>
          <w:szCs w:val="32"/>
          <w:rtl/>
        </w:rPr>
        <w:t>)</w:t>
      </w:r>
    </w:p>
    <w:p w:rsidR="00C230D6" w:rsidRDefault="00C230D6" w:rsidP="00C230D6">
      <w:pPr>
        <w:jc w:val="both"/>
        <w:rPr>
          <w:rFonts w:ascii="Simplified Arabic" w:hAnsi="Simplified Arabic" w:cs="Simplified Arabic"/>
          <w:sz w:val="32"/>
          <w:szCs w:val="32"/>
          <w:rtl/>
        </w:rPr>
      </w:pPr>
      <w:r>
        <w:rPr>
          <w:rFonts w:ascii="Simplified Arabic" w:hAnsi="Simplified Arabic" w:cs="Simplified Arabic"/>
          <w:sz w:val="32"/>
          <w:szCs w:val="32"/>
          <w:rtl/>
          <w:lang w:bidi="fa-IR"/>
        </w:rPr>
        <w:t xml:space="preserve"> ۲۳ - </w:t>
      </w:r>
      <w:r>
        <w:rPr>
          <w:rFonts w:ascii="Simplified Arabic" w:hAnsi="Simplified Arabic" w:cs="Simplified Arabic"/>
          <w:sz w:val="32"/>
          <w:szCs w:val="32"/>
          <w:rtl/>
          <w:lang w:bidi="ar-IQ"/>
        </w:rPr>
        <w:t xml:space="preserve">أنه من الخطأ تصور أن وجود حديث من طريق واحد من الصحابة - مثلا - يعني أنه لم يسمعه من النبي ة سوى هذا الصحابي ؛ لأن عدم رواية الآخرين له لا يعني عدم علمهم به ، بل قد يكون هذا الحديث معلومة عند كثير من الصحابة ، ولا يشترط أن يحدث كل واحد منهم به ، بل يكفيهم أن يحدث به أحدهم مع إقرار الباقين له على روايته) ، وقد يكون هناك صحابة آخرون حدثوا الناس به وليس بالضرورة أن تصل إلينا جميع </w:t>
      </w:r>
      <w:proofErr w:type="spellStart"/>
      <w:r>
        <w:rPr>
          <w:rFonts w:ascii="Simplified Arabic" w:hAnsi="Simplified Arabic" w:cs="Simplified Arabic"/>
          <w:sz w:val="32"/>
          <w:szCs w:val="32"/>
          <w:rtl/>
          <w:lang w:bidi="ar-IQ"/>
        </w:rPr>
        <w:t>الروایات</w:t>
      </w:r>
      <w:proofErr w:type="spellEnd"/>
      <w:r>
        <w:rPr>
          <w:rFonts w:ascii="Simplified Arabic" w:hAnsi="Simplified Arabic" w:cs="Simplified Arabic"/>
          <w:sz w:val="32"/>
          <w:szCs w:val="32"/>
          <w:rtl/>
          <w:lang w:bidi="ar-IQ"/>
        </w:rPr>
        <w:t xml:space="preserve"> ؛ لأنه ليس كل من سمع الأحاديث من الصحابة يبلغها لغيره ، لسبب أو لآخر ، كأن ينقطع للزهد والعبادة فلا يحدث الناس بما سمع ، أو يشتغل بشؤون حياته الخاصة ، أو يموت قبل أن يبلغ السن التي </w:t>
      </w:r>
      <w:r>
        <w:rPr>
          <w:rFonts w:ascii="Simplified Arabic" w:hAnsi="Simplified Arabic" w:cs="Simplified Arabic"/>
          <w:sz w:val="32"/>
          <w:szCs w:val="32"/>
          <w:rtl/>
          <w:lang w:bidi="ar-IQ"/>
        </w:rPr>
        <w:lastRenderedPageBreak/>
        <w:t xml:space="preserve">يكون فيها معلمة لغيره ، أو ينسى الأحاديث التي في قصة أبي هريرة مع أبي سعيد الخدري سمعها من الصحابة الآخرين . . إلخ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7"/>
      </w:r>
      <w:r>
        <w:rPr>
          <w:rStyle w:val="a3"/>
          <w:rFonts w:ascii="Simplified Arabic" w:hAnsi="Simplified Arabic" w:cs="Simplified Arabic"/>
          <w:sz w:val="32"/>
          <w:szCs w:val="32"/>
          <w:rtl/>
        </w:rPr>
        <w:t>)</w:t>
      </w:r>
      <w:r>
        <w:rPr>
          <w:rFonts w:ascii="Simplified Arabic" w:hAnsi="Simplified Arabic" w:cs="Simplified Arabic"/>
          <w:sz w:val="32"/>
          <w:szCs w:val="32"/>
          <w:rtl/>
        </w:rPr>
        <w:t xml:space="preserve"> .</w:t>
      </w:r>
    </w:p>
    <w:p w:rsidR="00C230D6" w:rsidRDefault="00C230D6" w:rsidP="00C230D6">
      <w:pPr>
        <w:jc w:val="both"/>
        <w:rPr>
          <w:rFonts w:ascii="Simplified Arabic" w:hAnsi="Simplified Arabic" w:cs="Simplified Arabic" w:hint="cs"/>
          <w:sz w:val="32"/>
          <w:szCs w:val="32"/>
          <w:rtl/>
          <w:lang w:bidi="ar-IQ"/>
        </w:rPr>
      </w:pPr>
      <w:r>
        <w:rPr>
          <w:rFonts w:ascii="Simplified Arabic" w:hAnsi="Simplified Arabic" w:cs="Simplified Arabic"/>
          <w:sz w:val="32"/>
          <w:szCs w:val="32"/>
          <w:rtl/>
          <w:lang w:bidi="fa-IR"/>
        </w:rPr>
        <w:t xml:space="preserve"> ۲4 - </w:t>
      </w:r>
      <w:r>
        <w:rPr>
          <w:rFonts w:ascii="Simplified Arabic" w:hAnsi="Simplified Arabic" w:cs="Simplified Arabic"/>
          <w:sz w:val="32"/>
          <w:szCs w:val="32"/>
          <w:rtl/>
          <w:lang w:bidi="ar-IQ"/>
        </w:rPr>
        <w:t xml:space="preserve">أنه لا ارتباط بين العلم بالشيء وروايته ، فقد يكون الإنسان عالما بعلم من العلوم ، إلا أنه لا يقوم بتعليم الآخرين لظرف من الظروف ، فهناك – مثلا الآلاف من المسلمين اليوم يحفظون القرآن عن ظهر قلب منذ الصغر ، إلا أنه ليس كل هؤلاء يصبحون بعد ذلك </w:t>
      </w:r>
      <w:proofErr w:type="spellStart"/>
      <w:r>
        <w:rPr>
          <w:rFonts w:ascii="Simplified Arabic" w:hAnsi="Simplified Arabic" w:cs="Simplified Arabic"/>
          <w:sz w:val="32"/>
          <w:szCs w:val="32"/>
          <w:rtl/>
          <w:lang w:bidi="ar-IQ"/>
        </w:rPr>
        <w:t>محفظين</w:t>
      </w:r>
      <w:proofErr w:type="spellEnd"/>
      <w:r>
        <w:rPr>
          <w:rFonts w:ascii="Simplified Arabic" w:hAnsi="Simplified Arabic" w:cs="Simplified Arabic"/>
          <w:sz w:val="32"/>
          <w:szCs w:val="32"/>
          <w:rtl/>
          <w:lang w:bidi="ar-IQ"/>
        </w:rPr>
        <w:t xml:space="preserve"> ومعلمين لغيرهم ، وإنما يتصدى عدد قليل منهم لمهمة التدريس والتحفيظ، وكذلك الحال بالنسبة للصحابة فقد كان علماء الصحابة وحفاظ الحديث منهم كثيرين ، غير أنه ليس كلهم جلسوا للتدريس والتعليم ، بسبب ظروف كل واحد منهم ، فالخلفاء الأربعة اشتغلوا بالخلافة وأمور الدولة؛ ولهذا قلت الروايات عنهم، مع أنهم كانوا أعلم الصحابة، وأكثرهم ملازمة للنبي، بينما كثرت الرواية عن عبد الله بن عمر، وأبي هريرة، وجابر بن عبدالله، وأنس، وعائشة، وغيرهم لأنهم تصدوا لمهمة تعليم الناس وتدريسهم؛ ولأنهم عاشوا مدة طويلة بعد وفاة كثير من الصحابة، ولهذا كان الصحابة إذا سمعوا قولاً </w:t>
      </w:r>
      <w:proofErr w:type="spellStart"/>
      <w:r>
        <w:rPr>
          <w:rFonts w:ascii="Simplified Arabic" w:hAnsi="Simplified Arabic" w:cs="Simplified Arabic"/>
          <w:sz w:val="32"/>
          <w:szCs w:val="32"/>
          <w:rtl/>
          <w:lang w:bidi="ar-IQ"/>
        </w:rPr>
        <w:t>غریباً</w:t>
      </w:r>
      <w:proofErr w:type="spellEnd"/>
      <w:r>
        <w:rPr>
          <w:rFonts w:ascii="Simplified Arabic" w:hAnsi="Simplified Arabic" w:cs="Simplified Arabic"/>
          <w:sz w:val="32"/>
          <w:szCs w:val="32"/>
          <w:rtl/>
          <w:lang w:bidi="ar-IQ"/>
        </w:rPr>
        <w:t xml:space="preserve"> يبادرون إلى إنكاره ومناقشة الصحابي الذي رواه عن النبي والتثبت منه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8"/>
      </w:r>
      <w:r>
        <w:rPr>
          <w:rStyle w:val="a3"/>
          <w:rFonts w:ascii="Simplified Arabic" w:hAnsi="Simplified Arabic" w:cs="Simplified Arabic"/>
          <w:sz w:val="32"/>
          <w:szCs w:val="32"/>
          <w:rtl/>
        </w:rPr>
        <w:t>)</w:t>
      </w: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 xml:space="preserve">مما يؤكد أن عدم تدريسهم لا يعني عدم علمهم بالستة ، كما يؤكد أيضا أن </w:t>
      </w:r>
      <w:proofErr w:type="spellStart"/>
      <w:r>
        <w:rPr>
          <w:rFonts w:ascii="Simplified Arabic" w:hAnsi="Simplified Arabic" w:cs="Simplified Arabic"/>
          <w:sz w:val="32"/>
          <w:szCs w:val="32"/>
          <w:rtl/>
          <w:lang w:bidi="ar-IQ"/>
        </w:rPr>
        <w:t>سکوتهم</w:t>
      </w:r>
      <w:proofErr w:type="spellEnd"/>
      <w:r>
        <w:rPr>
          <w:rFonts w:ascii="Simplified Arabic" w:hAnsi="Simplified Arabic" w:cs="Simplified Arabic"/>
          <w:sz w:val="32"/>
          <w:szCs w:val="32"/>
          <w:rtl/>
          <w:lang w:bidi="ar-IQ"/>
        </w:rPr>
        <w:t xml:space="preserve"> وعدم إنكارهم على هذا الراوي أو ذاك إقرار منهم بصحة ما يرويه وينسبه إلى النبي صلى الله عليه وسلم ، وإلا لبادروا إلى إنكاره أيضا . </w:t>
      </w:r>
    </w:p>
    <w:p w:rsidR="00C230D6" w:rsidRDefault="00C230D6" w:rsidP="00C230D6">
      <w:pPr>
        <w:jc w:val="both"/>
        <w:rPr>
          <w:rFonts w:ascii="Simplified Arabic" w:hAnsi="Simplified Arabic" w:cs="Simplified Arabic"/>
          <w:sz w:val="32"/>
          <w:szCs w:val="32"/>
          <w:rtl/>
          <w:lang w:bidi="ar-IQ"/>
        </w:rPr>
      </w:pPr>
      <w:bookmarkStart w:id="0" w:name="_GoBack"/>
      <w:bookmarkEnd w:id="0"/>
    </w:p>
    <w:p w:rsidR="00C230D6" w:rsidRDefault="00C230D6" w:rsidP="00C230D6">
      <w:pPr>
        <w:jc w:val="both"/>
        <w:rPr>
          <w:rFonts w:ascii="Simplified Arabic" w:hAnsi="Simplified Arabic" w:cs="Simplified Arabic"/>
          <w:sz w:val="32"/>
          <w:szCs w:val="32"/>
          <w:rtl/>
        </w:rPr>
      </w:pPr>
      <w:r>
        <w:rPr>
          <w:rFonts w:ascii="Simplified Arabic" w:hAnsi="Simplified Arabic" w:cs="Simplified Arabic"/>
          <w:sz w:val="32"/>
          <w:szCs w:val="32"/>
          <w:rtl/>
          <w:lang w:bidi="fa-IR"/>
        </w:rPr>
        <w:lastRenderedPageBreak/>
        <w:t xml:space="preserve">۲5 - </w:t>
      </w:r>
      <w:r>
        <w:rPr>
          <w:rFonts w:ascii="Simplified Arabic" w:hAnsi="Simplified Arabic" w:cs="Simplified Arabic"/>
          <w:sz w:val="32"/>
          <w:szCs w:val="32"/>
          <w:rtl/>
          <w:lang w:bidi="ar-IQ"/>
        </w:rPr>
        <w:t xml:space="preserve">وكما هو معلوم فإن </w:t>
      </w:r>
      <w:proofErr w:type="spellStart"/>
      <w:r>
        <w:rPr>
          <w:rFonts w:ascii="Simplified Arabic" w:hAnsi="Simplified Arabic" w:cs="Simplified Arabic"/>
          <w:sz w:val="32"/>
          <w:szCs w:val="32"/>
          <w:rtl/>
          <w:lang w:bidi="ar-IQ"/>
        </w:rPr>
        <w:t>تدوین</w:t>
      </w:r>
      <w:proofErr w:type="spellEnd"/>
      <w:r>
        <w:rPr>
          <w:rFonts w:ascii="Simplified Arabic" w:hAnsi="Simplified Arabic" w:cs="Simplified Arabic"/>
          <w:sz w:val="32"/>
          <w:szCs w:val="32"/>
          <w:rtl/>
          <w:lang w:bidi="ar-IQ"/>
        </w:rPr>
        <w:t xml:space="preserve"> أي علم من العلوم إنما يكون بعد وجود هذا العلم ، فالتدوين للعلوم مرحلة لاحقة تأتي بعد نشأتها ، فالعرب -مثلا- تعرف قواعد لغتها بالسليقة قبل </w:t>
      </w:r>
      <w:proofErr w:type="spellStart"/>
      <w:r>
        <w:rPr>
          <w:rFonts w:ascii="Simplified Arabic" w:hAnsi="Simplified Arabic" w:cs="Simplified Arabic"/>
          <w:sz w:val="32"/>
          <w:szCs w:val="32"/>
          <w:rtl/>
          <w:lang w:bidi="ar-IQ"/>
        </w:rPr>
        <w:t>تدوین</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کتب</w:t>
      </w:r>
      <w:proofErr w:type="spellEnd"/>
      <w:r>
        <w:rPr>
          <w:rFonts w:ascii="Simplified Arabic" w:hAnsi="Simplified Arabic" w:cs="Simplified Arabic"/>
          <w:sz w:val="32"/>
          <w:szCs w:val="32"/>
          <w:rtl/>
          <w:lang w:bidi="ar-IQ"/>
        </w:rPr>
        <w:t xml:space="preserve"> (النحو))، والشعراء يعرفون كيف ينظمون الشعر قبل </w:t>
      </w:r>
      <w:proofErr w:type="spellStart"/>
      <w:r>
        <w:rPr>
          <w:rFonts w:ascii="Simplified Arabic" w:hAnsi="Simplified Arabic" w:cs="Simplified Arabic"/>
          <w:sz w:val="32"/>
          <w:szCs w:val="32"/>
          <w:rtl/>
          <w:lang w:bidi="ar-IQ"/>
        </w:rPr>
        <w:t>تدوین</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کتب</w:t>
      </w:r>
      <w:proofErr w:type="spellEnd"/>
      <w:r>
        <w:rPr>
          <w:rFonts w:ascii="Simplified Arabic" w:hAnsi="Simplified Arabic" w:cs="Simplified Arabic"/>
          <w:sz w:val="32"/>
          <w:szCs w:val="32"/>
          <w:rtl/>
          <w:lang w:bidi="ar-IQ"/>
        </w:rPr>
        <w:t xml:space="preserve"> (العروض)</w:t>
      </w:r>
      <w:r>
        <w:rPr>
          <w:rStyle w:val="a3"/>
          <w:rFonts w:ascii="Simplified Arabic" w:hAnsi="Simplified Arabic" w:cs="Simplified Arabic"/>
          <w:sz w:val="32"/>
          <w:szCs w:val="32"/>
          <w:rtl/>
          <w:lang w:bidi="ar-IQ"/>
        </w:rPr>
        <w:t xml:space="preserve">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9"/>
      </w:r>
      <w:r>
        <w:rPr>
          <w:rStyle w:val="a3"/>
          <w:rFonts w:ascii="Simplified Arabic" w:hAnsi="Simplified Arabic" w:cs="Simplified Arabic"/>
          <w:sz w:val="32"/>
          <w:szCs w:val="32"/>
          <w:rtl/>
        </w:rPr>
        <w:t>)</w:t>
      </w:r>
      <w:r>
        <w:rPr>
          <w:rFonts w:ascii="Simplified Arabic" w:hAnsi="Simplified Arabic" w:cs="Simplified Arabic"/>
          <w:sz w:val="32"/>
          <w:szCs w:val="32"/>
          <w:rtl/>
          <w:lang w:bidi="ar-IQ"/>
        </w:rPr>
        <w:t xml:space="preserve"> ، ومبادئ الدستور البريطاني معروفة عند رجال القضاء البريطاني ورجال القانون والسياسة وإن لم يكن الدستور مكتوبا، وهكذا علماء الحديث الذين بدأوا بالتأليف لم يكن هدفهم إثبات أدلة تشريعية وإنما هدفهم حفظ وجمع الأدلة التي كانت موجودة خوفا عليها من الضياع كما فعل الصحابة عندما قاموا بجمع القرآن في مصحف واحد، وهذا ما صرح به عمر بن عبد العزيز عندما أمر بجمع السنة سنة </w:t>
      </w:r>
      <w:r>
        <w:rPr>
          <w:rFonts w:ascii="Simplified Arabic" w:hAnsi="Simplified Arabic" w:cs="Simplified Arabic"/>
          <w:sz w:val="32"/>
          <w:szCs w:val="32"/>
          <w:rtl/>
          <w:lang w:bidi="fa-IR"/>
        </w:rPr>
        <w:t>۱۰۰</w:t>
      </w:r>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هوهو</w:t>
      </w:r>
      <w:proofErr w:type="spellEnd"/>
      <w:r>
        <w:rPr>
          <w:rFonts w:ascii="Simplified Arabic" w:hAnsi="Simplified Arabic" w:cs="Simplified Arabic"/>
          <w:sz w:val="32"/>
          <w:szCs w:val="32"/>
          <w:rtl/>
          <w:lang w:bidi="ar-IQ"/>
        </w:rPr>
        <w:t xml:space="preserve"> أول أمر رسمي لجمع البيئة، فقد وغ عمر بن عبد العزيز سبب هذا الإجراء بأنه الخوف على السنة من الضياع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10"/>
      </w:r>
      <w:r>
        <w:rPr>
          <w:rStyle w:val="a3"/>
          <w:rFonts w:ascii="Simplified Arabic" w:hAnsi="Simplified Arabic" w:cs="Simplified Arabic"/>
          <w:sz w:val="32"/>
          <w:szCs w:val="32"/>
          <w:rtl/>
        </w:rPr>
        <w:t>)</w:t>
      </w:r>
      <w:r>
        <w:rPr>
          <w:rFonts w:ascii="Simplified Arabic" w:hAnsi="Simplified Arabic" w:cs="Simplified Arabic"/>
          <w:sz w:val="32"/>
          <w:szCs w:val="32"/>
          <w:rtl/>
          <w:lang w:bidi="ar-IQ"/>
        </w:rPr>
        <w:t xml:space="preserve">، لا أنه يجهل هذه السنة ويريد أن يتعلمها ، فقد كان هو أحد العلماء الكبار ، وكان جميع قضاته في جميع المدن الإسلامية يقضون بين الناس وفق حكم القرآن والسنة قبل أن يصدر أمره بجمعها </w:t>
      </w:r>
      <w:proofErr w:type="spellStart"/>
      <w:r>
        <w:rPr>
          <w:rFonts w:ascii="Simplified Arabic" w:hAnsi="Simplified Arabic" w:cs="Simplified Arabic"/>
          <w:sz w:val="32"/>
          <w:szCs w:val="32"/>
          <w:rtl/>
          <w:lang w:bidi="ar-IQ"/>
        </w:rPr>
        <w:t>وكمالم</w:t>
      </w:r>
      <w:proofErr w:type="spellEnd"/>
      <w:r>
        <w:rPr>
          <w:rFonts w:ascii="Simplified Arabic" w:hAnsi="Simplified Arabic" w:cs="Simplified Arabic"/>
          <w:sz w:val="32"/>
          <w:szCs w:val="32"/>
          <w:rtl/>
          <w:lang w:bidi="ar-IQ"/>
        </w:rPr>
        <w:t xml:space="preserve"> تضف المصاحف التي كتبها عثمان للأقاليم شيئا جديدا لأن المسلمين كانوا يحفظون القرآن قبل هذه المصاحف فكذلك </w:t>
      </w:r>
      <w:proofErr w:type="spellStart"/>
      <w:r>
        <w:rPr>
          <w:rFonts w:ascii="Simplified Arabic" w:hAnsi="Simplified Arabic" w:cs="Simplified Arabic"/>
          <w:sz w:val="32"/>
          <w:szCs w:val="32"/>
          <w:rtl/>
          <w:lang w:bidi="ar-IQ"/>
        </w:rPr>
        <w:t>تدوین</w:t>
      </w:r>
      <w:proofErr w:type="spellEnd"/>
      <w:r>
        <w:rPr>
          <w:rFonts w:ascii="Simplified Arabic" w:hAnsi="Simplified Arabic" w:cs="Simplified Arabic"/>
          <w:sz w:val="32"/>
          <w:szCs w:val="32"/>
          <w:rtl/>
          <w:lang w:bidi="ar-IQ"/>
        </w:rPr>
        <w:t xml:space="preserve"> عمر للسنة لم يضف شيئا جديدة </w:t>
      </w:r>
      <w:r>
        <w:rPr>
          <w:rStyle w:val="a3"/>
          <w:rFonts w:ascii="Simplified Arabic" w:hAnsi="Simplified Arabic" w:cs="Simplified Arabic"/>
          <w:sz w:val="32"/>
          <w:szCs w:val="32"/>
          <w:rtl/>
        </w:rPr>
        <w:t>(</w:t>
      </w:r>
      <w:r>
        <w:rPr>
          <w:rStyle w:val="a3"/>
          <w:rFonts w:ascii="Simplified Arabic" w:hAnsi="Simplified Arabic" w:cs="Simplified Arabic"/>
          <w:sz w:val="32"/>
          <w:szCs w:val="32"/>
          <w:rtl/>
        </w:rPr>
        <w:footnoteReference w:id="11"/>
      </w:r>
      <w:r>
        <w:rPr>
          <w:rStyle w:val="a3"/>
          <w:rFonts w:ascii="Simplified Arabic" w:hAnsi="Simplified Arabic" w:cs="Simplified Arabic"/>
          <w:sz w:val="32"/>
          <w:szCs w:val="32"/>
          <w:rtl/>
        </w:rPr>
        <w:t>)</w:t>
      </w:r>
      <w:r>
        <w:rPr>
          <w:rFonts w:ascii="Simplified Arabic" w:hAnsi="Simplified Arabic" w:cs="Simplified Arabic"/>
          <w:sz w:val="32"/>
          <w:szCs w:val="32"/>
          <w:rtl/>
        </w:rPr>
        <w:t>.</w:t>
      </w:r>
    </w:p>
    <w:p w:rsidR="00C230D6" w:rsidRDefault="00C230D6" w:rsidP="00C230D6">
      <w:pPr>
        <w:rPr>
          <w:rtl/>
        </w:rPr>
      </w:pPr>
      <w:r>
        <w:rPr>
          <w:rtl/>
        </w:rPr>
        <w:t xml:space="preserve"> </w:t>
      </w:r>
    </w:p>
    <w:p w:rsidR="006976F7" w:rsidRDefault="006976F7">
      <w:pPr>
        <w:rPr>
          <w:rFonts w:hint="cs"/>
        </w:rPr>
      </w:pPr>
    </w:p>
    <w:sectPr w:rsidR="006976F7"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E8" w:rsidRDefault="000053E8" w:rsidP="00C230D6">
      <w:pPr>
        <w:spacing w:after="0" w:line="240" w:lineRule="auto"/>
      </w:pPr>
      <w:r>
        <w:separator/>
      </w:r>
    </w:p>
  </w:endnote>
  <w:endnote w:type="continuationSeparator" w:id="0">
    <w:p w:rsidR="000053E8" w:rsidRDefault="000053E8" w:rsidP="00C2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E8" w:rsidRDefault="000053E8" w:rsidP="00C230D6">
      <w:pPr>
        <w:spacing w:after="0" w:line="240" w:lineRule="auto"/>
      </w:pPr>
      <w:r>
        <w:separator/>
      </w:r>
    </w:p>
  </w:footnote>
  <w:footnote w:type="continuationSeparator" w:id="0">
    <w:p w:rsidR="000053E8" w:rsidRDefault="000053E8" w:rsidP="00C230D6">
      <w:pPr>
        <w:spacing w:after="0" w:line="240" w:lineRule="auto"/>
      </w:pPr>
      <w:r>
        <w:continuationSeparator/>
      </w:r>
    </w:p>
  </w:footnote>
  <w:footnote w:id="1">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1)</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 xml:space="preserve">انظر : الفصول في الأصول للجصاص </w:t>
      </w:r>
      <w:r>
        <w:rPr>
          <w:rFonts w:ascii="Simplified Arabic" w:hAnsi="Simplified Arabic" w:cs="Simplified Arabic"/>
          <w:sz w:val="28"/>
          <w:szCs w:val="28"/>
          <w:rtl/>
          <w:lang w:bidi="fa-IR"/>
        </w:rPr>
        <w:t>۳/۲۰۷</w:t>
      </w:r>
      <w:r>
        <w:rPr>
          <w:rFonts w:ascii="Simplified Arabic" w:hAnsi="Simplified Arabic" w:cs="Simplified Arabic"/>
          <w:sz w:val="28"/>
          <w:szCs w:val="28"/>
          <w:rtl/>
          <w:lang w:bidi="ar-IQ"/>
        </w:rPr>
        <w:t>، وإحكام الأحكام 4/</w:t>
      </w:r>
      <w:r>
        <w:rPr>
          <w:rFonts w:ascii="Simplified Arabic" w:hAnsi="Simplified Arabic" w:cs="Simplified Arabic"/>
          <w:sz w:val="28"/>
          <w:szCs w:val="28"/>
          <w:rtl/>
          <w:lang w:bidi="fa-IR"/>
        </w:rPr>
        <w:t>۱4۷)</w:t>
      </w:r>
      <w:r>
        <w:rPr>
          <w:rFonts w:ascii="Simplified Arabic" w:hAnsi="Simplified Arabic" w:cs="Simplified Arabic"/>
          <w:sz w:val="28"/>
          <w:szCs w:val="28"/>
          <w:rtl/>
          <w:lang w:bidi="ar-IQ"/>
        </w:rPr>
        <w:t xml:space="preserve">، وإعلام الموقعين </w:t>
      </w:r>
      <w:r>
        <w:rPr>
          <w:rFonts w:ascii="Simplified Arabic" w:hAnsi="Simplified Arabic" w:cs="Simplified Arabic"/>
          <w:sz w:val="28"/>
          <w:szCs w:val="28"/>
          <w:rtl/>
          <w:lang w:bidi="fa-IR"/>
        </w:rPr>
        <w:t xml:space="preserve">۸۳/۱، </w:t>
      </w:r>
      <w:r>
        <w:rPr>
          <w:rFonts w:ascii="Simplified Arabic" w:hAnsi="Simplified Arabic" w:cs="Simplified Arabic"/>
          <w:sz w:val="28"/>
          <w:szCs w:val="28"/>
          <w:rtl/>
          <w:lang w:bidi="ar-IQ"/>
        </w:rPr>
        <w:t xml:space="preserve">وانظر أيضا </w:t>
      </w:r>
      <w:proofErr w:type="spellStart"/>
      <w:r>
        <w:rPr>
          <w:rFonts w:ascii="Simplified Arabic" w:hAnsi="Simplified Arabic" w:cs="Simplified Arabic"/>
          <w:sz w:val="28"/>
          <w:szCs w:val="28"/>
          <w:rtl/>
          <w:lang w:bidi="ar-IQ"/>
        </w:rPr>
        <w:t>فتاوی</w:t>
      </w:r>
      <w:proofErr w:type="spellEnd"/>
      <w:r>
        <w:rPr>
          <w:rFonts w:ascii="Simplified Arabic" w:hAnsi="Simplified Arabic" w:cs="Simplified Arabic"/>
          <w:sz w:val="28"/>
          <w:szCs w:val="28"/>
          <w:rtl/>
          <w:lang w:bidi="ar-IQ"/>
        </w:rPr>
        <w:t xml:space="preserve"> ابن تيمية </w:t>
      </w:r>
      <w:r>
        <w:rPr>
          <w:rFonts w:ascii="Simplified Arabic" w:hAnsi="Simplified Arabic" w:cs="Simplified Arabic"/>
          <w:sz w:val="28"/>
          <w:szCs w:val="28"/>
          <w:rtl/>
          <w:lang w:bidi="fa-IR"/>
        </w:rPr>
        <w:t xml:space="preserve">۱۹/۱۹۰-۲۰۲ </w:t>
      </w:r>
      <w:r>
        <w:rPr>
          <w:rFonts w:ascii="Simplified Arabic" w:hAnsi="Simplified Arabic" w:cs="Simplified Arabic"/>
          <w:sz w:val="28"/>
          <w:szCs w:val="28"/>
          <w:rtl/>
          <w:lang w:bidi="ar-IQ"/>
        </w:rPr>
        <w:t xml:space="preserve">و </w:t>
      </w:r>
      <w:r>
        <w:rPr>
          <w:rFonts w:ascii="Simplified Arabic" w:hAnsi="Simplified Arabic" w:cs="Simplified Arabic"/>
          <w:sz w:val="28"/>
          <w:szCs w:val="28"/>
          <w:rtl/>
          <w:lang w:bidi="fa-IR"/>
        </w:rPr>
        <w:t>20/۱۰.</w:t>
      </w:r>
    </w:p>
  </w:footnote>
  <w:footnote w:id="2">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2)</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 xml:space="preserve">انظر : الفصول في الأصول للجصاص </w:t>
      </w:r>
      <w:r>
        <w:rPr>
          <w:rFonts w:ascii="Simplified Arabic" w:hAnsi="Simplified Arabic" w:cs="Simplified Arabic"/>
          <w:sz w:val="28"/>
          <w:szCs w:val="28"/>
          <w:rtl/>
          <w:lang w:bidi="fa-IR"/>
        </w:rPr>
        <w:t>2/329.</w:t>
      </w:r>
    </w:p>
  </w:footnote>
  <w:footnote w:id="3">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1)</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 xml:space="preserve">البحر المحيط </w:t>
      </w:r>
      <w:proofErr w:type="spellStart"/>
      <w:r>
        <w:rPr>
          <w:rFonts w:ascii="Simplified Arabic" w:hAnsi="Simplified Arabic" w:cs="Simplified Arabic"/>
          <w:sz w:val="28"/>
          <w:szCs w:val="28"/>
          <w:rtl/>
          <w:lang w:bidi="ar-IQ"/>
        </w:rPr>
        <w:t>للزرکشي</w:t>
      </w:r>
      <w:proofErr w:type="spellEnd"/>
      <w:r>
        <w:rPr>
          <w:rFonts w:ascii="Simplified Arabic" w:hAnsi="Simplified Arabic" w:cs="Simplified Arabic"/>
          <w:sz w:val="28"/>
          <w:szCs w:val="28"/>
          <w:rtl/>
          <w:lang w:bidi="ar-IQ"/>
        </w:rPr>
        <w:t xml:space="preserve"> (4/ 418) .</w:t>
      </w:r>
    </w:p>
  </w:footnote>
  <w:footnote w:id="4">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2)</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 xml:space="preserve">انظر : الفصول في الأصول للجصاص </w:t>
      </w:r>
      <w:r>
        <w:rPr>
          <w:rFonts w:ascii="Simplified Arabic" w:hAnsi="Simplified Arabic" w:cs="Simplified Arabic"/>
          <w:sz w:val="28"/>
          <w:szCs w:val="28"/>
          <w:rtl/>
          <w:lang w:bidi="fa-IR"/>
        </w:rPr>
        <w:t>۳/۲۰۷</w:t>
      </w:r>
      <w:r>
        <w:rPr>
          <w:rFonts w:ascii="Simplified Arabic" w:hAnsi="Simplified Arabic" w:cs="Simplified Arabic"/>
          <w:sz w:val="28"/>
          <w:szCs w:val="28"/>
          <w:rtl/>
          <w:lang w:bidi="ar-IQ"/>
        </w:rPr>
        <w:t>، وإحكام الأحكام 4/</w:t>
      </w:r>
      <w:r>
        <w:rPr>
          <w:rFonts w:ascii="Simplified Arabic" w:hAnsi="Simplified Arabic" w:cs="Simplified Arabic"/>
          <w:sz w:val="28"/>
          <w:szCs w:val="28"/>
          <w:rtl/>
          <w:lang w:bidi="fa-IR"/>
        </w:rPr>
        <w:t>۱4۷)</w:t>
      </w:r>
      <w:r>
        <w:rPr>
          <w:rFonts w:ascii="Simplified Arabic" w:hAnsi="Simplified Arabic" w:cs="Simplified Arabic"/>
          <w:sz w:val="28"/>
          <w:szCs w:val="28"/>
          <w:rtl/>
          <w:lang w:bidi="ar-IQ"/>
        </w:rPr>
        <w:t xml:space="preserve">، وإعلام الموقعين </w:t>
      </w:r>
      <w:r>
        <w:rPr>
          <w:rFonts w:ascii="Simplified Arabic" w:hAnsi="Simplified Arabic" w:cs="Simplified Arabic"/>
          <w:sz w:val="28"/>
          <w:szCs w:val="28"/>
          <w:rtl/>
          <w:lang w:bidi="fa-IR"/>
        </w:rPr>
        <w:t xml:space="preserve">۸۳/۱، </w:t>
      </w:r>
      <w:r>
        <w:rPr>
          <w:rFonts w:ascii="Simplified Arabic" w:hAnsi="Simplified Arabic" w:cs="Simplified Arabic"/>
          <w:sz w:val="28"/>
          <w:szCs w:val="28"/>
          <w:rtl/>
          <w:lang w:bidi="ar-IQ"/>
        </w:rPr>
        <w:t xml:space="preserve">وانظر أيضا </w:t>
      </w:r>
      <w:proofErr w:type="spellStart"/>
      <w:r>
        <w:rPr>
          <w:rFonts w:ascii="Simplified Arabic" w:hAnsi="Simplified Arabic" w:cs="Simplified Arabic"/>
          <w:sz w:val="28"/>
          <w:szCs w:val="28"/>
          <w:rtl/>
          <w:lang w:bidi="ar-IQ"/>
        </w:rPr>
        <w:t>فتاوی</w:t>
      </w:r>
      <w:proofErr w:type="spellEnd"/>
      <w:r>
        <w:rPr>
          <w:rFonts w:ascii="Simplified Arabic" w:hAnsi="Simplified Arabic" w:cs="Simplified Arabic"/>
          <w:sz w:val="28"/>
          <w:szCs w:val="28"/>
          <w:rtl/>
          <w:lang w:bidi="ar-IQ"/>
        </w:rPr>
        <w:t xml:space="preserve"> ابن تيمية </w:t>
      </w:r>
      <w:r>
        <w:rPr>
          <w:rFonts w:ascii="Simplified Arabic" w:hAnsi="Simplified Arabic" w:cs="Simplified Arabic"/>
          <w:sz w:val="28"/>
          <w:szCs w:val="28"/>
          <w:rtl/>
          <w:lang w:bidi="fa-IR"/>
        </w:rPr>
        <w:t xml:space="preserve">۱۹/۱۹۰-۲۰۲ </w:t>
      </w:r>
      <w:r>
        <w:rPr>
          <w:rFonts w:ascii="Simplified Arabic" w:hAnsi="Simplified Arabic" w:cs="Simplified Arabic"/>
          <w:sz w:val="28"/>
          <w:szCs w:val="28"/>
          <w:rtl/>
          <w:lang w:bidi="ar-IQ"/>
        </w:rPr>
        <w:t xml:space="preserve">و </w:t>
      </w:r>
      <w:r>
        <w:rPr>
          <w:rFonts w:ascii="Simplified Arabic" w:hAnsi="Simplified Arabic" w:cs="Simplified Arabic"/>
          <w:sz w:val="28"/>
          <w:szCs w:val="28"/>
          <w:rtl/>
          <w:lang w:bidi="fa-IR"/>
        </w:rPr>
        <w:t>20/۱۰.</w:t>
      </w:r>
    </w:p>
  </w:footnote>
  <w:footnote w:id="5">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2)</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انظر : مسند أحمد 6/</w:t>
      </w:r>
      <w:r>
        <w:rPr>
          <w:rFonts w:ascii="Simplified Arabic" w:hAnsi="Simplified Arabic" w:cs="Simplified Arabic"/>
          <w:sz w:val="28"/>
          <w:szCs w:val="28"/>
          <w:rtl/>
          <w:lang w:bidi="fa-IR"/>
        </w:rPr>
        <w:t>۲</w:t>
      </w:r>
      <w:r>
        <w:rPr>
          <w:rFonts w:ascii="Simplified Arabic" w:hAnsi="Simplified Arabic" w:cs="Simplified Arabic"/>
          <w:sz w:val="28"/>
          <w:szCs w:val="28"/>
          <w:rtl/>
          <w:lang w:bidi="ar-IQ"/>
        </w:rPr>
        <w:t xml:space="preserve">46 في قصة عائشة مع أبي هريرة ، وفتاوي ابن تيمية </w:t>
      </w:r>
      <w:r>
        <w:rPr>
          <w:rFonts w:ascii="Simplified Arabic" w:hAnsi="Simplified Arabic" w:cs="Simplified Arabic"/>
          <w:sz w:val="28"/>
          <w:szCs w:val="28"/>
          <w:rtl/>
          <w:lang w:bidi="fa-IR"/>
        </w:rPr>
        <w:t>۱۸/۳۹ .</w:t>
      </w:r>
    </w:p>
  </w:footnote>
  <w:footnote w:id="6">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2)</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للمزيد يراجع : التمييز لمسلم (</w:t>
      </w:r>
      <w:r>
        <w:rPr>
          <w:rFonts w:ascii="Simplified Arabic" w:hAnsi="Simplified Arabic" w:cs="Simplified Arabic"/>
          <w:sz w:val="28"/>
          <w:szCs w:val="28"/>
          <w:rtl/>
          <w:lang w:bidi="fa-IR"/>
        </w:rPr>
        <w:t>۱۷۲)</w:t>
      </w:r>
      <w:r>
        <w:rPr>
          <w:rFonts w:ascii="Simplified Arabic" w:hAnsi="Simplified Arabic" w:cs="Simplified Arabic"/>
          <w:sz w:val="28"/>
          <w:szCs w:val="28"/>
          <w:rtl/>
          <w:lang w:bidi="ar-IQ"/>
        </w:rPr>
        <w:t xml:space="preserve">، ومنهج النقد عند المحدثين </w:t>
      </w:r>
      <w:r>
        <w:rPr>
          <w:rFonts w:ascii="Simplified Arabic" w:hAnsi="Simplified Arabic" w:cs="Simplified Arabic"/>
          <w:sz w:val="28"/>
          <w:szCs w:val="28"/>
          <w:rtl/>
          <w:lang w:bidi="fa-IR"/>
        </w:rPr>
        <w:t xml:space="preserve">۹۰-۷۹، </w:t>
      </w:r>
      <w:r>
        <w:rPr>
          <w:rFonts w:ascii="Simplified Arabic" w:hAnsi="Simplified Arabic" w:cs="Simplified Arabic"/>
          <w:sz w:val="28"/>
          <w:szCs w:val="28"/>
          <w:rtl/>
          <w:lang w:bidi="ar-IQ"/>
        </w:rPr>
        <w:t>والأنوار الكاشفة (</w:t>
      </w:r>
      <w:r>
        <w:rPr>
          <w:rFonts w:ascii="Simplified Arabic" w:hAnsi="Simplified Arabic" w:cs="Simplified Arabic"/>
          <w:sz w:val="28"/>
          <w:szCs w:val="28"/>
          <w:rtl/>
          <w:lang w:bidi="fa-IR"/>
        </w:rPr>
        <w:t>۸۱).</w:t>
      </w:r>
    </w:p>
  </w:footnote>
  <w:footnote w:id="7">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1)</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انظر : الأنوار الكاشفة (</w:t>
      </w:r>
      <w:r>
        <w:rPr>
          <w:rFonts w:ascii="Simplified Arabic" w:hAnsi="Simplified Arabic" w:cs="Simplified Arabic"/>
          <w:sz w:val="28"/>
          <w:szCs w:val="28"/>
          <w:rtl/>
          <w:lang w:bidi="fa-IR"/>
        </w:rPr>
        <w:t>۹۲-۹۳) .</w:t>
      </w:r>
    </w:p>
  </w:footnote>
  <w:footnote w:id="8">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2)</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انظر : أحمد 2</w:t>
      </w:r>
      <w:r>
        <w:rPr>
          <w:rFonts w:ascii="Simplified Arabic" w:hAnsi="Simplified Arabic" w:cs="Simplified Arabic"/>
          <w:sz w:val="28"/>
          <w:szCs w:val="28"/>
          <w:rtl/>
          <w:lang w:bidi="fa-IR"/>
        </w:rPr>
        <w:t xml:space="preserve">/۲۸۷ و </w:t>
      </w:r>
      <w:r>
        <w:rPr>
          <w:rFonts w:ascii="Simplified Arabic" w:hAnsi="Simplified Arabic" w:cs="Simplified Arabic"/>
          <w:sz w:val="28"/>
          <w:szCs w:val="28"/>
          <w:rtl/>
          <w:lang w:bidi="ar-IQ"/>
        </w:rPr>
        <w:t>1/14-15،  وانظر : فتاوي ابن تيمية (</w:t>
      </w:r>
      <w:r>
        <w:rPr>
          <w:rFonts w:ascii="Simplified Arabic" w:hAnsi="Simplified Arabic" w:cs="Simplified Arabic"/>
          <w:sz w:val="28"/>
          <w:szCs w:val="28"/>
          <w:rtl/>
          <w:lang w:bidi="fa-IR"/>
        </w:rPr>
        <w:t>۲۲).</w:t>
      </w:r>
    </w:p>
  </w:footnote>
  <w:footnote w:id="9">
    <w:p w:rsidR="00C230D6" w:rsidRDefault="00C230D6" w:rsidP="00C230D6">
      <w:pPr>
        <w:rPr>
          <w:rFonts w:ascii="Simplified Arabic" w:hAnsi="Simplified Arabic" w:cs="Simplified Arabic"/>
          <w:sz w:val="28"/>
          <w:szCs w:val="28"/>
          <w:rtl/>
          <w:lang w:bidi="ar-IQ"/>
        </w:rPr>
      </w:pPr>
      <w:r>
        <w:rPr>
          <w:rFonts w:cs="Arial"/>
          <w:rtl/>
          <w:lang w:bidi="ar-IQ"/>
        </w:rPr>
        <w:t xml:space="preserve"> (</w:t>
      </w:r>
      <w:r>
        <w:rPr>
          <w:rFonts w:cs="Arial"/>
          <w:rtl/>
          <w:lang w:bidi="fa-IR"/>
        </w:rPr>
        <w:t>1)</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 xml:space="preserve">انظر : </w:t>
      </w:r>
      <w:proofErr w:type="spellStart"/>
      <w:r>
        <w:rPr>
          <w:rFonts w:ascii="Simplified Arabic" w:hAnsi="Simplified Arabic" w:cs="Simplified Arabic"/>
          <w:sz w:val="28"/>
          <w:szCs w:val="28"/>
          <w:rtl/>
          <w:lang w:bidi="ar-IQ"/>
        </w:rPr>
        <w:t>تاریخ</w:t>
      </w:r>
      <w:proofErr w:type="spellEnd"/>
      <w:r>
        <w:rPr>
          <w:rFonts w:ascii="Simplified Arabic" w:hAnsi="Simplified Arabic" w:cs="Simplified Arabic"/>
          <w:sz w:val="28"/>
          <w:szCs w:val="28"/>
          <w:rtl/>
          <w:lang w:bidi="ar-IQ"/>
        </w:rPr>
        <w:t xml:space="preserve"> ابن خلدون 1/469 .</w:t>
      </w:r>
    </w:p>
  </w:footnote>
  <w:footnote w:id="10">
    <w:p w:rsidR="00C230D6" w:rsidRDefault="00C230D6" w:rsidP="00C230D6">
      <w:pPr>
        <w:jc w:val="both"/>
        <w:rPr>
          <w:rFonts w:ascii="Simplified Arabic" w:hAnsi="Simplified Arabic" w:cs="Simplified Arabic"/>
          <w:sz w:val="28"/>
          <w:szCs w:val="28"/>
          <w:rtl/>
          <w:lang w:bidi="ar-IQ"/>
        </w:rPr>
      </w:pPr>
      <w:r>
        <w:rPr>
          <w:rFonts w:cs="Arial"/>
          <w:rtl/>
          <w:lang w:bidi="ar-IQ"/>
        </w:rPr>
        <w:t xml:space="preserve"> (</w:t>
      </w:r>
      <w:r>
        <w:rPr>
          <w:rFonts w:cs="Arial"/>
          <w:rtl/>
          <w:lang w:bidi="fa-IR"/>
        </w:rPr>
        <w:t>2)</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انظر : تقييد العلم للخطيب البغدادي 1/</w:t>
      </w:r>
      <w:r>
        <w:rPr>
          <w:rFonts w:ascii="Simplified Arabic" w:hAnsi="Simplified Arabic" w:cs="Simplified Arabic"/>
          <w:sz w:val="28"/>
          <w:szCs w:val="28"/>
          <w:rtl/>
          <w:lang w:bidi="fa-IR"/>
        </w:rPr>
        <w:t>۱۰۵ .</w:t>
      </w:r>
    </w:p>
  </w:footnote>
  <w:footnote w:id="11">
    <w:p w:rsidR="00C230D6" w:rsidRDefault="00C230D6" w:rsidP="00C230D6">
      <w:pPr>
        <w:jc w:val="both"/>
        <w:rPr>
          <w:rFonts w:ascii="Simplified Arabic" w:hAnsi="Simplified Arabic" w:cs="Simplified Arabic"/>
          <w:sz w:val="28"/>
          <w:szCs w:val="28"/>
          <w:rtl/>
          <w:lang w:bidi="ar-IQ"/>
        </w:rPr>
      </w:pPr>
      <w:r>
        <w:rPr>
          <w:rFonts w:cs="Arial"/>
          <w:rtl/>
          <w:lang w:bidi="ar-IQ"/>
        </w:rPr>
        <w:t xml:space="preserve"> (</w:t>
      </w:r>
      <w:r>
        <w:rPr>
          <w:rFonts w:cs="Arial"/>
          <w:rtl/>
          <w:lang w:bidi="fa-IR"/>
        </w:rPr>
        <w:t>3)</w:t>
      </w:r>
      <w:r>
        <w:rPr>
          <w:rFonts w:ascii="Simplified Arabic" w:hAnsi="Simplified Arabic" w:cs="Simplified Arabic"/>
          <w:sz w:val="28"/>
          <w:szCs w:val="28"/>
          <w:rtl/>
          <w:lang w:bidi="fa-IR"/>
        </w:rPr>
        <w:t xml:space="preserve"> </w:t>
      </w:r>
      <w:r>
        <w:rPr>
          <w:rFonts w:ascii="Simplified Arabic" w:hAnsi="Simplified Arabic" w:cs="Simplified Arabic"/>
          <w:sz w:val="28"/>
          <w:szCs w:val="28"/>
          <w:rtl/>
          <w:lang w:bidi="ar-IQ"/>
        </w:rPr>
        <w:t>انظر : الأوسط في السنة لابن المنذر 1/426-433.</w:t>
      </w:r>
    </w:p>
    <w:p w:rsidR="00C230D6" w:rsidRDefault="00C230D6" w:rsidP="00C230D6">
      <w:pPr>
        <w:rPr>
          <w:rFonts w:ascii="Simplified Arabic" w:hAnsi="Simplified Arabic" w:cs="Simplified Arabic"/>
          <w:sz w:val="28"/>
          <w:szCs w:val="28"/>
          <w:rtl/>
          <w:lang w:bidi="ar-IQ"/>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6"/>
    <w:rsid w:val="000053E8"/>
    <w:rsid w:val="006976F7"/>
    <w:rsid w:val="00C230D6"/>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C230D6"/>
    <w:rPr>
      <w:rFonts w:ascii="Traditional Arabic" w:hAnsi="Traditional Arabic" w:cs="Traditional Arabic"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C230D6"/>
    <w:rPr>
      <w:rFonts w:ascii="Traditional Arabic" w:hAnsi="Traditional Arabic" w:cs="Traditional Arabic"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6003</Characters>
  <Application>Microsoft Office Word</Application>
  <DocSecurity>0</DocSecurity>
  <Lines>50</Lines>
  <Paragraphs>14</Paragraphs>
  <ScaleCrop>false</ScaleCrop>
  <Company>Naim Al Hussaini</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2020-03-11T19:23:00Z</dcterms:created>
  <dcterms:modified xsi:type="dcterms:W3CDTF">2020-03-11T19:23:00Z</dcterms:modified>
</cp:coreProperties>
</file>