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3" w:rsidRPr="005D53D3" w:rsidRDefault="005D53D3" w:rsidP="005D53D3">
      <w:pPr>
        <w:rPr>
          <w:rFonts w:ascii="Simplified Arabic" w:hAnsi="Simplified Arabic" w:cs="Simplified Arabic"/>
          <w:b/>
          <w:bCs/>
          <w:sz w:val="32"/>
          <w:szCs w:val="32"/>
          <w:rtl/>
          <w:lang w:bidi="ar-IQ"/>
        </w:rPr>
      </w:pPr>
      <w:r w:rsidRPr="005D53D3">
        <w:rPr>
          <w:rFonts w:ascii="Simplified Arabic" w:hAnsi="Simplified Arabic" w:cs="Simplified Arabic" w:hint="cs"/>
          <w:b/>
          <w:bCs/>
          <w:sz w:val="32"/>
          <w:szCs w:val="32"/>
          <w:rtl/>
          <w:lang w:bidi="ar-IQ"/>
        </w:rPr>
        <w:t>كلية العلوم الإسلامية/ قسم الحديث وعلومه</w:t>
      </w:r>
    </w:p>
    <w:p w:rsidR="005D53D3" w:rsidRPr="005D53D3" w:rsidRDefault="005D53D3" w:rsidP="005D53D3">
      <w:pPr>
        <w:rPr>
          <w:rFonts w:ascii="Simplified Arabic" w:hAnsi="Simplified Arabic" w:cs="Simplified Arabic"/>
          <w:b/>
          <w:bCs/>
          <w:sz w:val="32"/>
          <w:szCs w:val="32"/>
          <w:rtl/>
          <w:lang w:bidi="ar-IQ"/>
        </w:rPr>
      </w:pPr>
      <w:r w:rsidRPr="005D53D3">
        <w:rPr>
          <w:rFonts w:ascii="Simplified Arabic" w:hAnsi="Simplified Arabic" w:cs="Simplified Arabic" w:hint="cs"/>
          <w:b/>
          <w:bCs/>
          <w:sz w:val="32"/>
          <w:szCs w:val="32"/>
          <w:rtl/>
          <w:lang w:bidi="ar-IQ"/>
        </w:rPr>
        <w:t>اسم المحاضر: أ. م. د ثامر عبدالله داود</w:t>
      </w:r>
    </w:p>
    <w:p w:rsidR="005D53D3" w:rsidRPr="005D53D3" w:rsidRDefault="005D53D3" w:rsidP="005D53D3">
      <w:pPr>
        <w:rPr>
          <w:rFonts w:ascii="Simplified Arabic" w:hAnsi="Simplified Arabic" w:cs="Simplified Arabic"/>
          <w:b/>
          <w:bCs/>
          <w:sz w:val="32"/>
          <w:szCs w:val="32"/>
          <w:rtl/>
          <w:lang w:bidi="ar-IQ"/>
        </w:rPr>
      </w:pPr>
      <w:r w:rsidRPr="005D53D3">
        <w:rPr>
          <w:rFonts w:ascii="Simplified Arabic" w:hAnsi="Simplified Arabic" w:cs="Simplified Arabic" w:hint="cs"/>
          <w:b/>
          <w:bCs/>
          <w:sz w:val="32"/>
          <w:szCs w:val="32"/>
          <w:rtl/>
          <w:lang w:bidi="ar-IQ"/>
        </w:rPr>
        <w:t>المرحلة: الثانية</w:t>
      </w:r>
    </w:p>
    <w:p w:rsidR="005D53D3" w:rsidRPr="005D53D3" w:rsidRDefault="005D53D3" w:rsidP="005D53D3">
      <w:pPr>
        <w:rPr>
          <w:rFonts w:ascii="Simplified Arabic" w:hAnsi="Simplified Arabic" w:cs="Simplified Arabic"/>
          <w:b/>
          <w:bCs/>
          <w:sz w:val="32"/>
          <w:szCs w:val="32"/>
          <w:lang w:bidi="ar-IQ"/>
        </w:rPr>
      </w:pPr>
      <w:r w:rsidRPr="005D53D3">
        <w:rPr>
          <w:rFonts w:ascii="Simplified Arabic" w:hAnsi="Simplified Arabic" w:cs="Simplified Arabic" w:hint="cs"/>
          <w:b/>
          <w:bCs/>
          <w:sz w:val="32"/>
          <w:szCs w:val="32"/>
          <w:rtl/>
          <w:lang w:bidi="ar-IQ"/>
        </w:rPr>
        <w:t xml:space="preserve">اسم المادة بالإنكليزي: </w:t>
      </w:r>
      <w:r w:rsidRPr="005D53D3">
        <w:rPr>
          <w:rFonts w:ascii="Simplified Arabic" w:hAnsi="Simplified Arabic" w:cs="Simplified Arabic"/>
          <w:sz w:val="32"/>
          <w:szCs w:val="32"/>
          <w:lang w:bidi="ar-IQ"/>
        </w:rPr>
        <w:t>Weird talk</w:t>
      </w:r>
    </w:p>
    <w:p w:rsidR="005D53D3" w:rsidRPr="005D53D3" w:rsidRDefault="005D53D3" w:rsidP="005D53D3">
      <w:pPr>
        <w:rPr>
          <w:rFonts w:ascii="Simplified Arabic" w:hAnsi="Simplified Arabic" w:cs="Simplified Arabic"/>
          <w:b/>
          <w:bCs/>
          <w:sz w:val="32"/>
          <w:szCs w:val="32"/>
          <w:rtl/>
          <w:lang w:bidi="ar-IQ"/>
        </w:rPr>
      </w:pPr>
      <w:r w:rsidRPr="005D53D3">
        <w:rPr>
          <w:rFonts w:ascii="Simplified Arabic" w:hAnsi="Simplified Arabic" w:cs="Simplified Arabic" w:hint="cs"/>
          <w:b/>
          <w:bCs/>
          <w:sz w:val="32"/>
          <w:szCs w:val="32"/>
          <w:rtl/>
          <w:lang w:bidi="ar-IQ"/>
        </w:rPr>
        <w:t xml:space="preserve">اسم المادة بالعربي: </w:t>
      </w:r>
      <w:r w:rsidRPr="005D53D3">
        <w:rPr>
          <w:rFonts w:ascii="Simplified Arabic" w:hAnsi="Simplified Arabic" w:cs="Simplified Arabic" w:hint="cs"/>
          <w:sz w:val="32"/>
          <w:szCs w:val="32"/>
          <w:rtl/>
          <w:lang w:bidi="ar-IQ"/>
        </w:rPr>
        <w:t>غريب الحديث</w:t>
      </w:r>
      <w:r w:rsidRPr="005D53D3">
        <w:rPr>
          <w:rFonts w:ascii="Simplified Arabic" w:hAnsi="Simplified Arabic" w:cs="Simplified Arabic" w:hint="cs"/>
          <w:b/>
          <w:bCs/>
          <w:sz w:val="32"/>
          <w:szCs w:val="32"/>
          <w:rtl/>
          <w:lang w:bidi="ar-IQ"/>
        </w:rPr>
        <w:t>.</w:t>
      </w:r>
    </w:p>
    <w:p w:rsidR="005D53D3" w:rsidRPr="005D53D3" w:rsidRDefault="005D53D3" w:rsidP="005D53D3">
      <w:pPr>
        <w:jc w:val="both"/>
        <w:rPr>
          <w:rFonts w:ascii="Simplified Arabic" w:hAnsi="Simplified Arabic" w:cs="Simplified Arabic"/>
          <w:b/>
          <w:bCs/>
          <w:sz w:val="32"/>
          <w:szCs w:val="32"/>
          <w:rtl/>
          <w:lang w:bidi="ar-IQ"/>
        </w:rPr>
      </w:pPr>
      <w:r w:rsidRPr="005D53D3">
        <w:rPr>
          <w:rFonts w:ascii="Simplified Arabic" w:hAnsi="Simplified Arabic" w:cs="Simplified Arabic" w:hint="cs"/>
          <w:b/>
          <w:bCs/>
          <w:sz w:val="32"/>
          <w:szCs w:val="32"/>
          <w:rtl/>
          <w:lang w:bidi="ar-IQ"/>
        </w:rPr>
        <w:t xml:space="preserve">مصدر او مصادر المحاضرة: </w:t>
      </w:r>
      <w:r w:rsidRPr="005D53D3">
        <w:rPr>
          <w:rFonts w:ascii="Simplified Arabic" w:hAnsi="Simplified Arabic" w:cs="Simplified Arabic" w:hint="cs"/>
          <w:sz w:val="32"/>
          <w:szCs w:val="32"/>
          <w:rtl/>
          <w:lang w:bidi="ar-IQ"/>
        </w:rPr>
        <w:t>صحيح مسلم، ومسند أحمد.</w:t>
      </w:r>
    </w:p>
    <w:p w:rsidR="005D53D3" w:rsidRPr="005D53D3" w:rsidRDefault="005D53D3" w:rsidP="005D53D3">
      <w:pPr>
        <w:pStyle w:val="a3"/>
        <w:numPr>
          <w:ilvl w:val="0"/>
          <w:numId w:val="1"/>
        </w:numPr>
        <w:jc w:val="both"/>
        <w:rPr>
          <w:rFonts w:ascii="Simplified Arabic" w:hAnsi="Simplified Arabic" w:cs="Simplified Arabic"/>
          <w:b/>
          <w:bCs/>
          <w:sz w:val="32"/>
          <w:szCs w:val="32"/>
          <w:rtl/>
          <w:lang w:bidi="ar-IQ"/>
        </w:rPr>
      </w:pPr>
      <w:r w:rsidRPr="005D53D3">
        <w:rPr>
          <w:rFonts w:ascii="Simplified Arabic" w:hAnsi="Simplified Arabic" w:cs="Simplified Arabic"/>
          <w:b/>
          <w:bCs/>
          <w:sz w:val="32"/>
          <w:szCs w:val="32"/>
          <w:rtl/>
          <w:lang w:bidi="ar-IQ"/>
        </w:rPr>
        <w:t>المحاضرة الثالثة:</w:t>
      </w:r>
      <w:r w:rsidRPr="005D53D3">
        <w:rPr>
          <w:rFonts w:ascii="Simplified Arabic" w:hAnsi="Simplified Arabic" w:cs="Simplified Arabic"/>
          <w:sz w:val="32"/>
          <w:szCs w:val="32"/>
          <w:rtl/>
          <w:lang w:bidi="ar-IQ"/>
        </w:rPr>
        <w:t xml:space="preserve"> </w:t>
      </w:r>
      <w:r w:rsidRPr="005D53D3">
        <w:rPr>
          <w:rFonts w:ascii="Simplified Arabic" w:hAnsi="Simplified Arabic" w:cs="Simplified Arabic"/>
          <w:b/>
          <w:bCs/>
          <w:sz w:val="32"/>
          <w:szCs w:val="32"/>
          <w:rtl/>
          <w:lang w:bidi="ar-IQ"/>
        </w:rPr>
        <w:t xml:space="preserve">مفهوم الغرابة عند المحدثين: </w:t>
      </w:r>
    </w:p>
    <w:p w:rsidR="005D53D3" w:rsidRPr="005D53D3" w:rsidRDefault="005D53D3" w:rsidP="005D53D3">
      <w:pPr>
        <w:ind w:left="360"/>
        <w:jc w:val="both"/>
        <w:rPr>
          <w:rFonts w:ascii="Simplified Arabic" w:hAnsi="Simplified Arabic" w:cs="Simplified Arabic"/>
          <w:b/>
          <w:bCs/>
          <w:sz w:val="32"/>
          <w:szCs w:val="32"/>
          <w:rtl/>
          <w:lang w:bidi="ar-IQ"/>
        </w:rPr>
      </w:pPr>
      <w:r w:rsidRPr="005D53D3">
        <w:rPr>
          <w:rFonts w:ascii="Simplified Arabic" w:hAnsi="Simplified Arabic" w:cs="Simplified Arabic"/>
          <w:b/>
          <w:bCs/>
          <w:sz w:val="32"/>
          <w:szCs w:val="32"/>
          <w:rtl/>
          <w:lang w:bidi="ar-IQ"/>
        </w:rPr>
        <w:t>القسم الثاني: إطلاقات الغريب في الحديث:</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sz w:val="32"/>
          <w:szCs w:val="32"/>
          <w:rtl/>
          <w:lang w:bidi="ar-IQ"/>
        </w:rPr>
        <w:t>الغريب والغرابة في الحديث تحمل عدة معان، ولها إطلاقات لكل منها مفهوم يستقل به لجانب معين ويشترك مع غيره في جانب آخر، وهذه الإطلاقات يعد استخدامها وورودها في الحديث أقدم من غيره استخداماً لها ولمفهومها الأوسع في الغربة، ومفهومها الأشمل، وعند النظر في استعمالات الغرابة في الحديث النبوي تخلص إلى أن لها معاني ودلالات يحمل كل منها معنى لهذه الدلالات، ومن هذه الدلالات:</w:t>
      </w:r>
    </w:p>
    <w:p w:rsidR="005D53D3" w:rsidRPr="005D53D3" w:rsidRDefault="005D53D3" w:rsidP="005D53D3">
      <w:pPr>
        <w:pStyle w:val="a3"/>
        <w:numPr>
          <w:ilvl w:val="0"/>
          <w:numId w:val="2"/>
        </w:numPr>
        <w:jc w:val="both"/>
        <w:rPr>
          <w:rFonts w:ascii="Simplified Arabic" w:hAnsi="Simplified Arabic" w:cs="Simplified Arabic"/>
          <w:b/>
          <w:bCs/>
          <w:sz w:val="32"/>
          <w:szCs w:val="32"/>
          <w:rtl/>
          <w:lang w:bidi="ar-IQ"/>
        </w:rPr>
      </w:pPr>
      <w:r w:rsidRPr="005D53D3">
        <w:rPr>
          <w:rFonts w:ascii="Simplified Arabic" w:hAnsi="Simplified Arabic" w:cs="Simplified Arabic"/>
          <w:b/>
          <w:bCs/>
          <w:sz w:val="32"/>
          <w:szCs w:val="32"/>
          <w:rtl/>
          <w:lang w:bidi="ar-IQ"/>
        </w:rPr>
        <w:t>غرابة الدين في أوساط المجتمعات:</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b/>
          <w:bCs/>
          <w:sz w:val="32"/>
          <w:szCs w:val="32"/>
          <w:rtl/>
          <w:lang w:bidi="ar-IQ"/>
        </w:rPr>
        <w:t xml:space="preserve">غرابة الدين: </w:t>
      </w:r>
      <w:r w:rsidRPr="005D53D3">
        <w:rPr>
          <w:rFonts w:ascii="Simplified Arabic" w:hAnsi="Simplified Arabic" w:cs="Simplified Arabic"/>
          <w:sz w:val="32"/>
          <w:szCs w:val="32"/>
          <w:rtl/>
          <w:lang w:bidi="ar-IQ"/>
        </w:rPr>
        <w:t>قلة الأتباع له وضعف النصرة وكثرة مغريات المخالفين والملهيات والفتن مما يكون سبباً من أسباب قلة الصالحين وكثرة المخالفين الذين يكون لمخالفاتهم رواج وقبول وأتباع تؤدي إلى أن ما يحمله الصالحون من حق غريب وأنهم غرباء.</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sz w:val="32"/>
          <w:szCs w:val="32"/>
          <w:rtl/>
          <w:lang w:bidi="ar-IQ"/>
        </w:rPr>
        <w:lastRenderedPageBreak/>
        <w:t>وقد أشار رسول الله صلى الله عليه وسلم إلى هذا النوع من الغرابة أنها لن تقوم الساعة حتى يكون المعروف منكراً والمنكر معروفاً، قَالَ حُذَيْفَةُ: سَمِعْتُ رَسُولَ اللهِ صَلَّى اللهُ عَلَيْهِ وَسَلَّمَ يَقُولُ: «تُعْرَضُ الْفِتَنُ ... لَا يَعْرِفُ مَعْرُوفًا، وَلَا يُنْكِرُ مُنْكَرًا، إِلَّا مَا أُشْرِبَ مِنْ هَوَاهُ».</w:t>
      </w:r>
      <w:r w:rsidRPr="005D53D3">
        <w:rPr>
          <w:rStyle w:val="a4"/>
          <w:rFonts w:ascii="Simplified Arabic" w:hAnsi="Simplified Arabic" w:cs="Simplified Arabic"/>
          <w:sz w:val="32"/>
          <w:szCs w:val="32"/>
          <w:rtl/>
        </w:rPr>
        <w:t>(</w:t>
      </w:r>
      <w:r w:rsidRPr="005D53D3">
        <w:rPr>
          <w:rStyle w:val="a4"/>
          <w:rFonts w:ascii="Simplified Arabic" w:hAnsi="Simplified Arabic" w:cs="Simplified Arabic"/>
          <w:sz w:val="32"/>
          <w:szCs w:val="32"/>
          <w:rtl/>
        </w:rPr>
        <w:footnoteReference w:id="1"/>
      </w:r>
      <w:r w:rsidRPr="005D53D3">
        <w:rPr>
          <w:rStyle w:val="a4"/>
          <w:rFonts w:ascii="Simplified Arabic" w:hAnsi="Simplified Arabic" w:cs="Simplified Arabic"/>
          <w:sz w:val="32"/>
          <w:szCs w:val="32"/>
          <w:rtl/>
        </w:rPr>
        <w:t>)</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sz w:val="32"/>
          <w:szCs w:val="32"/>
          <w:rtl/>
          <w:lang w:bidi="ar-IQ"/>
        </w:rPr>
        <w:t>وهذا يدل على انتكاس المفاهيم وارتكاس التصورات، واستفحال المنكرات، وانحسار الحق في طائفة من الناس يكونون غرباء بين الخضم الهائل كم أهل هذه المنكرات التي أصبحت مستساغة في أوساط المجتمعات ماجة للحق إلا من رحم ربك، وعندئذٍ تكون غربة الإسلام الثانية.</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sz w:val="32"/>
          <w:szCs w:val="32"/>
          <w:rtl/>
          <w:lang w:bidi="ar-IQ"/>
        </w:rPr>
        <w:t>وهذا النوع من الغربة يعد من أشد أنواع الغربة؛ لما فيه من آثار نفسية، واستخفاف بأمر الدين من قبل بعض أبنائه، فَعَنْ أَبِي هُرَيْرَةَ، قَالَ: قَالَ رَسُولُ اللهِ صَلَّى اللهُ عَلَيْهِ وَسَلَّمَ: «بَدَأَ الْإِسْلَامُ غَرِيبًا، وَسَيَعُودُ كَمَا بَدَأَ غَرِيبًا، فَطُوبَى لِلْغُرَبَاءِ».</w:t>
      </w:r>
      <w:r w:rsidRPr="005D53D3">
        <w:rPr>
          <w:rStyle w:val="a4"/>
          <w:rFonts w:ascii="Simplified Arabic" w:hAnsi="Simplified Arabic" w:cs="Simplified Arabic"/>
          <w:sz w:val="32"/>
          <w:szCs w:val="32"/>
          <w:rtl/>
        </w:rPr>
        <w:t>(</w:t>
      </w:r>
      <w:r w:rsidRPr="005D53D3">
        <w:rPr>
          <w:rStyle w:val="a4"/>
          <w:rFonts w:ascii="Simplified Arabic" w:hAnsi="Simplified Arabic" w:cs="Simplified Arabic"/>
          <w:sz w:val="32"/>
          <w:szCs w:val="32"/>
          <w:rtl/>
        </w:rPr>
        <w:footnoteReference w:id="2"/>
      </w:r>
      <w:r w:rsidRPr="005D53D3">
        <w:rPr>
          <w:rStyle w:val="a4"/>
          <w:rFonts w:ascii="Simplified Arabic" w:hAnsi="Simplified Arabic" w:cs="Simplified Arabic"/>
          <w:sz w:val="32"/>
          <w:szCs w:val="32"/>
          <w:rtl/>
        </w:rPr>
        <w:t>)</w:t>
      </w:r>
      <w:r w:rsidRPr="005D53D3">
        <w:rPr>
          <w:rFonts w:ascii="Simplified Arabic" w:hAnsi="Simplified Arabic" w:cs="Simplified Arabic"/>
          <w:sz w:val="32"/>
          <w:szCs w:val="32"/>
          <w:rtl/>
          <w:lang w:bidi="ar-IQ"/>
        </w:rPr>
        <w:t xml:space="preserve"> ، وَعَن عَبْدَ اللهِ بْنَ عَمْرِو بْنِ الْعَاصِي، قَالَ: قَالَ رَسُولُ اللهِ صَلَّى اللهُ عَلَيْهِ وَسَلَّمَ ذَاتَ يَوْمٍ وَنَحْنُ عِنْدَهُ: " طُوبَى لِلْغُرَبَاءِ "، فَقِيلَ: مَنِ الْغُرَبَاءُ يَا رَسُولَ اللهِ؟ قَالَ: " أُنَاسٌ صَالِحُونَ، فِي أُنَاسِ سُوءٍ كَثِيرٍ، مَنْ يَعْصِيهِمْ أَكْثَرُ مِمَّنْ يُطِيعُهُمْ "</w:t>
      </w:r>
      <w:r w:rsidRPr="005D53D3">
        <w:rPr>
          <w:rStyle w:val="a4"/>
          <w:rFonts w:ascii="Simplified Arabic" w:hAnsi="Simplified Arabic" w:cs="Simplified Arabic"/>
          <w:sz w:val="32"/>
          <w:szCs w:val="32"/>
          <w:rtl/>
        </w:rPr>
        <w:t>(</w:t>
      </w:r>
      <w:r w:rsidRPr="005D53D3">
        <w:rPr>
          <w:rStyle w:val="a4"/>
          <w:rFonts w:ascii="Simplified Arabic" w:hAnsi="Simplified Arabic" w:cs="Simplified Arabic"/>
          <w:sz w:val="32"/>
          <w:szCs w:val="32"/>
          <w:rtl/>
        </w:rPr>
        <w:footnoteReference w:id="3"/>
      </w:r>
      <w:r w:rsidRPr="005D53D3">
        <w:rPr>
          <w:rStyle w:val="a4"/>
          <w:rFonts w:ascii="Simplified Arabic" w:hAnsi="Simplified Arabic" w:cs="Simplified Arabic"/>
          <w:sz w:val="32"/>
          <w:szCs w:val="32"/>
          <w:rtl/>
        </w:rPr>
        <w:t>)</w:t>
      </w:r>
      <w:r w:rsidRPr="005D53D3">
        <w:rPr>
          <w:rFonts w:ascii="Simplified Arabic" w:hAnsi="Simplified Arabic" w:cs="Simplified Arabic"/>
          <w:sz w:val="32"/>
          <w:szCs w:val="32"/>
          <w:rtl/>
        </w:rPr>
        <w:t xml:space="preserve"> </w:t>
      </w:r>
      <w:r w:rsidRPr="005D53D3">
        <w:rPr>
          <w:rFonts w:ascii="Simplified Arabic" w:hAnsi="Simplified Arabic" w:cs="Simplified Arabic"/>
          <w:sz w:val="32"/>
          <w:szCs w:val="32"/>
          <w:rtl/>
          <w:lang w:bidi="ar-IQ"/>
        </w:rPr>
        <w:t>والغربة هنا جاءت بمعنى الاغتراب المعنوي.</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sz w:val="32"/>
          <w:szCs w:val="32"/>
          <w:rtl/>
          <w:lang w:bidi="ar-IQ"/>
        </w:rPr>
        <w:lastRenderedPageBreak/>
        <w:t>إن الغربة المذكورة في الحديث والأحاديث الأخرى على ثلاثة أنواع:</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b/>
          <w:bCs/>
          <w:sz w:val="32"/>
          <w:szCs w:val="32"/>
          <w:rtl/>
          <w:lang w:bidi="ar-IQ"/>
        </w:rPr>
        <w:t>النوع الأول: غربة شرائع</w:t>
      </w:r>
      <w:r w:rsidRPr="005D53D3">
        <w:rPr>
          <w:rFonts w:ascii="Simplified Arabic" w:hAnsi="Simplified Arabic" w:cs="Simplified Arabic"/>
          <w:sz w:val="32"/>
          <w:szCs w:val="32"/>
          <w:rtl/>
          <w:lang w:bidi="ar-IQ"/>
        </w:rPr>
        <w:t>: بحيث تصبح بعض شرائع الإسلام غريبة كالجهاد، والأمر بالمعروف، والنهي عن المنكر، ولذلك وصف النبي صلى الله عليه وسلم الإسلام في بدايته وفي نهايته بأنه غريب.</w:t>
      </w:r>
    </w:p>
    <w:p w:rsidR="005D53D3" w:rsidRPr="005D53D3" w:rsidRDefault="005D53D3" w:rsidP="005D53D3">
      <w:pPr>
        <w:ind w:left="360"/>
        <w:jc w:val="both"/>
        <w:rPr>
          <w:rFonts w:ascii="Simplified Arabic" w:hAnsi="Simplified Arabic" w:cs="Simplified Arabic"/>
          <w:sz w:val="32"/>
          <w:szCs w:val="32"/>
          <w:rtl/>
          <w:lang w:bidi="ar-IQ"/>
        </w:rPr>
      </w:pPr>
      <w:r w:rsidRPr="005D53D3">
        <w:rPr>
          <w:rFonts w:ascii="Simplified Arabic" w:hAnsi="Simplified Arabic" w:cs="Simplified Arabic"/>
          <w:b/>
          <w:bCs/>
          <w:sz w:val="32"/>
          <w:szCs w:val="32"/>
          <w:rtl/>
          <w:lang w:bidi="ar-IQ"/>
        </w:rPr>
        <w:t xml:space="preserve">النوع الثاني: غربة مكان: </w:t>
      </w:r>
      <w:r w:rsidRPr="005D53D3">
        <w:rPr>
          <w:rFonts w:ascii="Simplified Arabic" w:hAnsi="Simplified Arabic" w:cs="Simplified Arabic"/>
          <w:sz w:val="32"/>
          <w:szCs w:val="32"/>
          <w:rtl/>
          <w:lang w:bidi="ar-IQ"/>
        </w:rPr>
        <w:t>وهي أن يكون الدين غريباً في بلد من البلدان ويكون أهله غرباء في ذلك البلد، بينما هم في بلد آخر أعزة ظاهرون فالغربة تكون في مكان دون مكان.</w:t>
      </w:r>
    </w:p>
    <w:p w:rsidR="005D53D3" w:rsidRPr="005D53D3" w:rsidRDefault="005D53D3" w:rsidP="005D53D3">
      <w:pPr>
        <w:ind w:left="360"/>
        <w:jc w:val="both"/>
        <w:rPr>
          <w:rFonts w:ascii="Simplified Arabic" w:hAnsi="Simplified Arabic" w:cs="Simplified Arabic"/>
          <w:sz w:val="32"/>
          <w:szCs w:val="32"/>
          <w:lang w:bidi="ar-IQ"/>
        </w:rPr>
      </w:pPr>
      <w:r w:rsidRPr="005D53D3">
        <w:rPr>
          <w:rFonts w:ascii="Simplified Arabic" w:hAnsi="Simplified Arabic" w:cs="Simplified Arabic"/>
          <w:b/>
          <w:bCs/>
          <w:sz w:val="32"/>
          <w:szCs w:val="32"/>
          <w:rtl/>
          <w:lang w:bidi="ar-IQ"/>
        </w:rPr>
        <w:t>النوع الثالث</w:t>
      </w:r>
      <w:r w:rsidRPr="005D53D3">
        <w:rPr>
          <w:rFonts w:ascii="Simplified Arabic" w:hAnsi="Simplified Arabic" w:cs="Simplified Arabic"/>
          <w:sz w:val="32"/>
          <w:szCs w:val="32"/>
          <w:rtl/>
          <w:lang w:bidi="ar-IQ"/>
        </w:rPr>
        <w:t xml:space="preserve">: </w:t>
      </w:r>
      <w:r w:rsidRPr="005D53D3">
        <w:rPr>
          <w:rFonts w:ascii="Simplified Arabic" w:hAnsi="Simplified Arabic" w:cs="Simplified Arabic"/>
          <w:b/>
          <w:bCs/>
          <w:sz w:val="32"/>
          <w:szCs w:val="32"/>
          <w:rtl/>
          <w:lang w:bidi="ar-IQ"/>
        </w:rPr>
        <w:t>غربة زمان:</w:t>
      </w:r>
      <w:r w:rsidRPr="005D53D3">
        <w:rPr>
          <w:rFonts w:ascii="Simplified Arabic" w:hAnsi="Simplified Arabic" w:cs="Simplified Arabic"/>
          <w:sz w:val="32"/>
          <w:szCs w:val="32"/>
          <w:rtl/>
          <w:lang w:bidi="ar-IQ"/>
        </w:rPr>
        <w:t xml:space="preserve"> وهي الغربة المستحكمة المطبقة على الأرض كلها بحيث يغدو الدين غريباً في زمن من الأزمنة في بقاع الأرض، كما حدث قبل بعثة النبي صلى الله عليه وسلم.</w:t>
      </w:r>
    </w:p>
    <w:p w:rsidR="00487B8A" w:rsidRPr="005D53D3" w:rsidRDefault="00487B8A">
      <w:pPr>
        <w:rPr>
          <w:sz w:val="32"/>
          <w:szCs w:val="32"/>
        </w:rPr>
      </w:pPr>
    </w:p>
    <w:sectPr w:rsidR="00487B8A" w:rsidRPr="005D53D3"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E5" w:rsidRDefault="009412E5" w:rsidP="005D53D3">
      <w:pPr>
        <w:spacing w:after="0" w:line="240" w:lineRule="auto"/>
      </w:pPr>
      <w:r>
        <w:separator/>
      </w:r>
    </w:p>
  </w:endnote>
  <w:endnote w:type="continuationSeparator" w:id="0">
    <w:p w:rsidR="009412E5" w:rsidRDefault="009412E5" w:rsidP="005D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E5" w:rsidRDefault="009412E5" w:rsidP="005D53D3">
      <w:pPr>
        <w:spacing w:after="0" w:line="240" w:lineRule="auto"/>
      </w:pPr>
      <w:r>
        <w:separator/>
      </w:r>
    </w:p>
  </w:footnote>
  <w:footnote w:type="continuationSeparator" w:id="0">
    <w:p w:rsidR="009412E5" w:rsidRDefault="009412E5" w:rsidP="005D53D3">
      <w:pPr>
        <w:spacing w:after="0" w:line="240" w:lineRule="auto"/>
      </w:pPr>
      <w:r>
        <w:continuationSeparator/>
      </w:r>
    </w:p>
  </w:footnote>
  <w:footnote w:id="1">
    <w:p w:rsidR="005D53D3" w:rsidRPr="005D53D3" w:rsidRDefault="005D53D3" w:rsidP="005D53D3">
      <w:pPr>
        <w:jc w:val="both"/>
        <w:rPr>
          <w:rFonts w:ascii="Simplified Arabic" w:hAnsi="Simplified Arabic" w:cs="Simplified Arabic"/>
          <w:sz w:val="28"/>
          <w:szCs w:val="28"/>
          <w:rtl/>
          <w:lang w:bidi="ar-IQ"/>
        </w:rPr>
      </w:pPr>
      <w:r w:rsidRPr="005D53D3">
        <w:rPr>
          <w:rFonts w:ascii="Simplified Arabic" w:hAnsi="Simplified Arabic" w:cs="Simplified Arabic"/>
          <w:sz w:val="28"/>
          <w:szCs w:val="28"/>
          <w:rtl/>
        </w:rPr>
        <w:t>(</w:t>
      </w:r>
      <w:r w:rsidRPr="005D53D3">
        <w:rPr>
          <w:rStyle w:val="a4"/>
          <w:rFonts w:ascii="Simplified Arabic" w:hAnsi="Simplified Arabic" w:cs="Simplified Arabic"/>
          <w:sz w:val="28"/>
          <w:szCs w:val="28"/>
        </w:rPr>
        <w:footnoteRef/>
      </w:r>
      <w:r w:rsidRPr="005D53D3">
        <w:rPr>
          <w:rFonts w:ascii="Simplified Arabic" w:hAnsi="Simplified Arabic" w:cs="Simplified Arabic"/>
          <w:sz w:val="28"/>
          <w:szCs w:val="28"/>
          <w:rtl/>
        </w:rPr>
        <w:t>)</w:t>
      </w:r>
      <w:r w:rsidRPr="005D53D3">
        <w:rPr>
          <w:rFonts w:ascii="Simplified Arabic" w:hAnsi="Simplified Arabic" w:cs="Simplified Arabic"/>
          <w:sz w:val="28"/>
          <w:szCs w:val="28"/>
          <w:rtl/>
          <w:lang w:bidi="ar-IQ"/>
        </w:rPr>
        <w:t xml:space="preserve"> صحيح مسلم 1/ 128(144).</w:t>
      </w:r>
    </w:p>
  </w:footnote>
  <w:footnote w:id="2">
    <w:p w:rsidR="005D53D3" w:rsidRPr="005D53D3" w:rsidRDefault="005D53D3" w:rsidP="005D53D3">
      <w:pPr>
        <w:jc w:val="both"/>
        <w:rPr>
          <w:rFonts w:ascii="Simplified Arabic" w:hAnsi="Simplified Arabic" w:cs="Simplified Arabic"/>
          <w:sz w:val="28"/>
          <w:szCs w:val="28"/>
          <w:rtl/>
          <w:lang w:bidi="ar-IQ"/>
        </w:rPr>
      </w:pPr>
      <w:r w:rsidRPr="005D53D3">
        <w:rPr>
          <w:rFonts w:ascii="Simplified Arabic" w:hAnsi="Simplified Arabic" w:cs="Simplified Arabic"/>
          <w:sz w:val="28"/>
          <w:szCs w:val="28"/>
          <w:rtl/>
        </w:rPr>
        <w:t>(</w:t>
      </w:r>
      <w:r w:rsidRPr="005D53D3">
        <w:rPr>
          <w:rStyle w:val="a4"/>
          <w:rFonts w:ascii="Simplified Arabic" w:hAnsi="Simplified Arabic" w:cs="Simplified Arabic"/>
          <w:sz w:val="28"/>
          <w:szCs w:val="28"/>
        </w:rPr>
        <w:footnoteRef/>
      </w:r>
      <w:r w:rsidRPr="005D53D3">
        <w:rPr>
          <w:rFonts w:ascii="Simplified Arabic" w:hAnsi="Simplified Arabic" w:cs="Simplified Arabic"/>
          <w:sz w:val="28"/>
          <w:szCs w:val="28"/>
          <w:rtl/>
        </w:rPr>
        <w:t>)</w:t>
      </w:r>
      <w:r w:rsidRPr="005D53D3">
        <w:rPr>
          <w:rFonts w:ascii="Simplified Arabic" w:hAnsi="Simplified Arabic" w:cs="Simplified Arabic"/>
          <w:sz w:val="28"/>
          <w:szCs w:val="28"/>
          <w:rtl/>
          <w:lang w:bidi="ar-IQ"/>
        </w:rPr>
        <w:t xml:space="preserve"> صحيح مسلم 1/ 113(145).</w:t>
      </w:r>
      <w:bookmarkStart w:id="0" w:name="_GoBack"/>
      <w:bookmarkEnd w:id="0"/>
    </w:p>
  </w:footnote>
  <w:footnote w:id="3">
    <w:p w:rsidR="005D53D3" w:rsidRPr="005D53D3" w:rsidRDefault="005D53D3" w:rsidP="005D53D3">
      <w:pPr>
        <w:jc w:val="both"/>
        <w:rPr>
          <w:rFonts w:ascii="Simplified Arabic" w:hAnsi="Simplified Arabic" w:cs="Simplified Arabic"/>
          <w:sz w:val="28"/>
          <w:szCs w:val="28"/>
          <w:rtl/>
          <w:lang w:bidi="ar-IQ"/>
        </w:rPr>
      </w:pPr>
      <w:r w:rsidRPr="005D53D3">
        <w:rPr>
          <w:rFonts w:ascii="Simplified Arabic" w:hAnsi="Simplified Arabic" w:cs="Simplified Arabic"/>
          <w:sz w:val="28"/>
          <w:szCs w:val="28"/>
          <w:rtl/>
        </w:rPr>
        <w:t>(</w:t>
      </w:r>
      <w:r w:rsidRPr="005D53D3">
        <w:rPr>
          <w:rStyle w:val="a4"/>
          <w:rFonts w:ascii="Simplified Arabic" w:hAnsi="Simplified Arabic" w:cs="Simplified Arabic"/>
          <w:sz w:val="28"/>
          <w:szCs w:val="28"/>
        </w:rPr>
        <w:footnoteRef/>
      </w:r>
      <w:r w:rsidRPr="005D53D3">
        <w:rPr>
          <w:rFonts w:ascii="Simplified Arabic" w:hAnsi="Simplified Arabic" w:cs="Simplified Arabic"/>
          <w:sz w:val="28"/>
          <w:szCs w:val="28"/>
          <w:rtl/>
        </w:rPr>
        <w:t>)</w:t>
      </w:r>
      <w:r w:rsidRPr="005D53D3">
        <w:rPr>
          <w:rFonts w:ascii="Simplified Arabic" w:hAnsi="Simplified Arabic" w:cs="Simplified Arabic"/>
          <w:sz w:val="28"/>
          <w:szCs w:val="28"/>
          <w:rtl/>
          <w:lang w:bidi="ar-IQ"/>
        </w:rPr>
        <w:t xml:space="preserve"> مسند أحمد ط الرسالة (11/ 231)</w:t>
      </w:r>
    </w:p>
    <w:p w:rsidR="005D53D3" w:rsidRPr="005D53D3" w:rsidRDefault="005D53D3" w:rsidP="005D53D3">
      <w:pPr>
        <w:jc w:val="both"/>
        <w:rPr>
          <w:rFonts w:ascii="Simplified Arabic" w:hAnsi="Simplified Arabic" w:cs="Simplified Arabic"/>
          <w:sz w:val="28"/>
          <w:szCs w:val="28"/>
          <w:rtl/>
          <w:lang w:bidi="ar-IQ"/>
        </w:rPr>
      </w:pPr>
    </w:p>
    <w:p w:rsidR="005D53D3" w:rsidRPr="005D53D3" w:rsidRDefault="005D53D3" w:rsidP="005D53D3">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873B6C"/>
    <w:multiLevelType w:val="hybridMultilevel"/>
    <w:tmpl w:val="51268BF6"/>
    <w:lvl w:ilvl="0" w:tplc="1B6E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D3"/>
    <w:rsid w:val="00487B8A"/>
    <w:rsid w:val="005D53D3"/>
    <w:rsid w:val="009412E5"/>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D3"/>
    <w:pPr>
      <w:ind w:left="720"/>
      <w:contextualSpacing/>
    </w:pPr>
  </w:style>
  <w:style w:type="character" w:styleId="a4">
    <w:name w:val="footnote reference"/>
    <w:basedOn w:val="a0"/>
    <w:rsid w:val="005D53D3"/>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D3"/>
    <w:pPr>
      <w:ind w:left="720"/>
      <w:contextualSpacing/>
    </w:pPr>
  </w:style>
  <w:style w:type="character" w:styleId="a4">
    <w:name w:val="footnote reference"/>
    <w:basedOn w:val="a0"/>
    <w:rsid w:val="005D53D3"/>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2020-03-11T19:38:00Z</dcterms:created>
  <dcterms:modified xsi:type="dcterms:W3CDTF">2020-03-11T19:40:00Z</dcterms:modified>
</cp:coreProperties>
</file>