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B5" w:rsidRDefault="001930B5" w:rsidP="001930B5">
      <w:pPr>
        <w:bidi/>
        <w:rPr>
          <w:b/>
          <w:bCs/>
          <w:noProof w:val="0"/>
          <w:sz w:val="28"/>
          <w:szCs w:val="30"/>
          <w:lang w:eastAsia="en-US" w:bidi="ar-IQ"/>
        </w:rPr>
      </w:pPr>
      <w:bookmarkStart w:id="0" w:name="_GoBack"/>
      <w:r>
        <w:rPr>
          <w:b/>
          <w:bCs/>
          <w:noProof w:val="0"/>
          <w:sz w:val="28"/>
          <w:szCs w:val="30"/>
          <w:rtl/>
          <w:lang w:eastAsia="en-US"/>
        </w:rPr>
        <w:t>المحاضرة الثا</w:t>
      </w:r>
      <w:r>
        <w:rPr>
          <w:rFonts w:hint="cs"/>
          <w:b/>
          <w:bCs/>
          <w:noProof w:val="0"/>
          <w:sz w:val="28"/>
          <w:szCs w:val="30"/>
          <w:rtl/>
          <w:lang w:eastAsia="en-US"/>
        </w:rPr>
        <w:t>لثة</w:t>
      </w:r>
      <w:r>
        <w:rPr>
          <w:b/>
          <w:bCs/>
          <w:noProof w:val="0"/>
          <w:sz w:val="28"/>
          <w:szCs w:val="30"/>
          <w:rtl/>
          <w:lang w:eastAsia="en-US"/>
        </w:rPr>
        <w:t xml:space="preserve"> عشرة</w:t>
      </w:r>
      <w:r>
        <w:rPr>
          <w:b/>
          <w:bCs/>
          <w:noProof w:val="0"/>
          <w:sz w:val="28"/>
          <w:szCs w:val="30"/>
          <w:rtl/>
          <w:lang w:eastAsia="en-US" w:bidi="ar-IQ"/>
        </w:rPr>
        <w:t xml:space="preserve"> </w:t>
      </w:r>
    </w:p>
    <w:p w:rsidR="001930B5" w:rsidRDefault="001930B5" w:rsidP="001930B5">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1930B5" w:rsidRDefault="001930B5" w:rsidP="001930B5">
      <w:pPr>
        <w:bidi/>
        <w:spacing w:after="200"/>
        <w:rPr>
          <w:b/>
          <w:bCs/>
          <w:noProof w:val="0"/>
          <w:sz w:val="28"/>
          <w:szCs w:val="30"/>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1930B5" w:rsidRDefault="001930B5" w:rsidP="001930B5">
      <w:pPr>
        <w:bidi/>
        <w:spacing w:after="200"/>
        <w:rPr>
          <w:b/>
          <w:bCs/>
          <w:noProof w:val="0"/>
          <w:sz w:val="28"/>
          <w:szCs w:val="30"/>
          <w:rtl/>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1930B5" w:rsidRDefault="001930B5" w:rsidP="001930B5">
      <w:pPr>
        <w:bidi/>
        <w:spacing w:after="200"/>
        <w:rPr>
          <w:b/>
          <w:bCs/>
          <w:noProof w:val="0"/>
          <w:sz w:val="28"/>
          <w:szCs w:val="30"/>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1930B5" w:rsidRDefault="001930B5" w:rsidP="001930B5">
      <w:pPr>
        <w:bidi/>
        <w:spacing w:after="200"/>
        <w:rPr>
          <w:b/>
          <w:bCs/>
          <w:noProof w:val="0"/>
          <w:sz w:val="28"/>
          <w:szCs w:val="30"/>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1930B5" w:rsidRDefault="001930B5" w:rsidP="001930B5">
      <w:pPr>
        <w:bidi/>
        <w:spacing w:after="200"/>
        <w:rPr>
          <w:b/>
          <w:bCs/>
          <w:noProof w:val="0"/>
          <w:sz w:val="28"/>
          <w:szCs w:val="30"/>
          <w:lang w:eastAsia="en-US"/>
        </w:rPr>
      </w:pPr>
      <w:r>
        <w:rPr>
          <w:b/>
          <w:bCs/>
          <w:noProof w:val="0"/>
          <w:sz w:val="28"/>
          <w:szCs w:val="30"/>
          <w:rtl/>
          <w:lang w:eastAsia="en-US"/>
        </w:rPr>
        <w:t xml:space="preserve">اسم المحاضرة انكليزي :  </w:t>
      </w:r>
    </w:p>
    <w:p w:rsidR="001930B5" w:rsidRDefault="001930B5" w:rsidP="005D72D4">
      <w:pPr>
        <w:jc w:val="right"/>
        <w:rPr>
          <w:rFonts w:ascii="Simplified Arabic" w:hAnsi="Simplified Arabic" w:cs="Simplified Arabic"/>
          <w:b/>
          <w:bCs/>
          <w:noProof w:val="0"/>
          <w:sz w:val="36"/>
          <w:szCs w:val="36"/>
          <w:lang w:eastAsia="en-US" w:bidi="ar-IQ"/>
        </w:rPr>
      </w:pPr>
      <w:r>
        <w:rPr>
          <w:b/>
          <w:bCs/>
          <w:noProof w:val="0"/>
          <w:sz w:val="28"/>
          <w:szCs w:val="30"/>
          <w:rtl/>
          <w:lang w:eastAsia="en-US"/>
        </w:rPr>
        <w:t xml:space="preserve">اسم المحاضرة </w:t>
      </w:r>
      <w:proofErr w:type="gramStart"/>
      <w:r>
        <w:rPr>
          <w:b/>
          <w:bCs/>
          <w:noProof w:val="0"/>
          <w:sz w:val="28"/>
          <w:szCs w:val="30"/>
          <w:rtl/>
          <w:lang w:eastAsia="en-US"/>
        </w:rPr>
        <w:t>بالعربي :</w:t>
      </w:r>
      <w:proofErr w:type="gramEnd"/>
      <w:r>
        <w:rPr>
          <w:b/>
          <w:bCs/>
          <w:noProof w:val="0"/>
          <w:sz w:val="28"/>
          <w:szCs w:val="30"/>
          <w:rtl/>
          <w:lang w:eastAsia="en-US" w:bidi="ar-IQ"/>
        </w:rPr>
        <w:t xml:space="preserve"> </w:t>
      </w:r>
      <w:r w:rsidR="005D72D4">
        <w:rPr>
          <w:rFonts w:hint="cs"/>
          <w:b/>
          <w:bCs/>
          <w:noProof w:val="0"/>
          <w:sz w:val="28"/>
          <w:szCs w:val="30"/>
          <w:rtl/>
          <w:lang w:eastAsia="en-US" w:bidi="ar-IQ"/>
        </w:rPr>
        <w:t xml:space="preserve">الأصول الشرعية : ( الكتاب والسنة ) . </w:t>
      </w:r>
    </w:p>
    <w:p w:rsidR="001930B5" w:rsidRDefault="001930B5" w:rsidP="001930B5">
      <w:pPr>
        <w:rPr>
          <w:rFonts w:hint="cs"/>
          <w:b/>
          <w:bCs/>
          <w:noProof w:val="0"/>
          <w:sz w:val="28"/>
          <w:szCs w:val="30"/>
          <w:rtl/>
          <w:lang w:eastAsia="en-US" w:bidi="ar-IQ"/>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w:t>
      </w:r>
    </w:p>
    <w:bookmarkEnd w:id="0"/>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rFonts w:hint="cs"/>
          <w:b/>
          <w:bCs/>
          <w:noProof w:val="0"/>
          <w:sz w:val="28"/>
          <w:szCs w:val="30"/>
          <w:rtl/>
          <w:lang w:eastAsia="en-US"/>
        </w:rPr>
      </w:pPr>
    </w:p>
    <w:p w:rsidR="005D72D4" w:rsidRDefault="005D72D4" w:rsidP="001930B5">
      <w:pPr>
        <w:rPr>
          <w:b/>
          <w:bCs/>
          <w:noProof w:val="0"/>
          <w:sz w:val="28"/>
          <w:szCs w:val="30"/>
          <w:lang w:eastAsia="en-US"/>
        </w:rPr>
      </w:pPr>
    </w:p>
    <w:p w:rsidR="005D72D4" w:rsidRDefault="005D72D4" w:rsidP="005D72D4">
      <w:pPr>
        <w:pStyle w:val="a3"/>
        <w:ind w:left="0" w:firstLine="284"/>
        <w:jc w:val="center"/>
        <w:rPr>
          <w:rFonts w:ascii="Simplified Arabic" w:hAnsi="Simplified Arabic" w:cs="Simplified Arabic"/>
          <w:sz w:val="32"/>
          <w:szCs w:val="32"/>
        </w:rPr>
      </w:pPr>
      <w:r>
        <w:rPr>
          <w:rFonts w:ascii="Simplified Arabic" w:hAnsi="Simplified Arabic" w:cs="Simplified Arabic"/>
          <w:sz w:val="32"/>
          <w:szCs w:val="32"/>
          <w:rtl/>
        </w:rPr>
        <w:lastRenderedPageBreak/>
        <w:t xml:space="preserve">الأصول الشرعية ( الكتاب </w:t>
      </w:r>
      <w:proofErr w:type="gramStart"/>
      <w:r>
        <w:rPr>
          <w:rFonts w:ascii="Simplified Arabic" w:hAnsi="Simplified Arabic" w:cs="Simplified Arabic"/>
          <w:sz w:val="32"/>
          <w:szCs w:val="32"/>
          <w:rtl/>
        </w:rPr>
        <w:t>والسنة</w:t>
      </w:r>
      <w:proofErr w:type="gramEnd"/>
      <w:r>
        <w:rPr>
          <w:rFonts w:ascii="Simplified Arabic" w:hAnsi="Simplified Arabic" w:cs="Simplified Arabic"/>
          <w:sz w:val="32"/>
          <w:szCs w:val="32"/>
          <w:rtl/>
        </w:rPr>
        <w:t xml:space="preserve"> )</w:t>
      </w:r>
    </w:p>
    <w:p w:rsidR="005D72D4" w:rsidRDefault="005D72D4" w:rsidP="005D72D4">
      <w:pPr>
        <w:pStyle w:val="a3"/>
        <w:numPr>
          <w:ilvl w:val="0"/>
          <w:numId w:val="1"/>
        </w:numPr>
        <w:spacing w:before="1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الأصل </w:t>
      </w:r>
      <w:proofErr w:type="gramStart"/>
      <w:r>
        <w:rPr>
          <w:rFonts w:ascii="Simplified Arabic" w:hAnsi="Simplified Arabic" w:cs="Simplified Arabic"/>
          <w:sz w:val="32"/>
          <w:szCs w:val="32"/>
          <w:rtl/>
        </w:rPr>
        <w:t>القرآني :</w:t>
      </w:r>
      <w:proofErr w:type="gramEnd"/>
    </w:p>
    <w:p w:rsidR="005D72D4" w:rsidRDefault="005D72D4" w:rsidP="005D72D4">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إن تفسير القرآن بالقرآن أصح طرق التفسير وأدقها بالنسبة للناظر فيه؛ لأن المتكلم أعرف بمراده من كلامه، والقرآن يفسر بعضه بعضا في كثير من مواضعه، فقد يرد النص مجملا في موضع ومبينا في موضع آخر، ويرد عاما في مكان ومخصصا في مكان غيره، ونحو ذلك. يقول ابن تيمية</w:t>
      </w:r>
      <w:r>
        <w:rPr>
          <w:rFonts w:ascii="Simplified Arabic" w:hAnsi="Simplified Arabic" w:cs="Simplified Arabic"/>
          <w:sz w:val="32"/>
          <w:szCs w:val="32"/>
          <w:rtl/>
        </w:rPr>
        <w:t>:</w:t>
      </w:r>
      <w:r>
        <w:rPr>
          <w:rFonts w:ascii="Simplified Arabic" w:hAnsi="Simplified Arabic" w:cs="Simplified Arabic"/>
          <w:sz w:val="32"/>
          <w:szCs w:val="32"/>
          <w:vertAlign w:val="superscript"/>
          <w:rtl/>
        </w:rPr>
        <w:t xml:space="preserve"> </w:t>
      </w:r>
      <w:r>
        <w:rPr>
          <w:rFonts w:ascii="Simplified Arabic" w:hAnsi="Simplified Arabic" w:cs="Simplified Arabic"/>
          <w:sz w:val="32"/>
          <w:szCs w:val="32"/>
        </w:rPr>
        <w:t xml:space="preserve"> »</w:t>
      </w:r>
      <w:r>
        <w:rPr>
          <w:rFonts w:ascii="Simplified Arabic" w:hAnsi="Simplified Arabic" w:cs="Simplified Arabic"/>
          <w:sz w:val="32"/>
          <w:szCs w:val="32"/>
          <w:rtl/>
        </w:rPr>
        <w:t>فإن قال قائل فما أحسن طرق التفسير؟</w:t>
      </w:r>
      <w:r>
        <w:rPr>
          <w:rFonts w:ascii="Simplified Arabic" w:hAnsi="Simplified Arabic" w:cs="Simplified Arabic"/>
          <w:b w:val="0"/>
          <w:bCs w:val="0"/>
          <w:sz w:val="32"/>
          <w:szCs w:val="32"/>
          <w:rtl/>
        </w:rPr>
        <w:t xml:space="preserve"> </w:t>
      </w:r>
      <w:proofErr w:type="gramStart"/>
      <w:r>
        <w:rPr>
          <w:rFonts w:ascii="Simplified Arabic" w:hAnsi="Simplified Arabic" w:cs="Simplified Arabic"/>
          <w:sz w:val="32"/>
          <w:szCs w:val="32"/>
          <w:u w:val="single"/>
          <w:rtl/>
        </w:rPr>
        <w:t>فالجواب</w:t>
      </w:r>
      <w:proofErr w:type="gramEnd"/>
      <w:r>
        <w:rPr>
          <w:rFonts w:ascii="Simplified Arabic" w:hAnsi="Simplified Arabic" w:cs="Simplified Arabic"/>
          <w:sz w:val="32"/>
          <w:szCs w:val="32"/>
          <w:u w:val="single"/>
          <w:rtl/>
        </w:rPr>
        <w:t>:</w:t>
      </w:r>
      <w:r>
        <w:rPr>
          <w:rFonts w:ascii="Simplified Arabic" w:hAnsi="Simplified Arabic" w:cs="Simplified Arabic"/>
          <w:b w:val="0"/>
          <w:bCs w:val="0"/>
          <w:sz w:val="32"/>
          <w:szCs w:val="32"/>
          <w:rtl/>
        </w:rPr>
        <w:t xml:space="preserve"> إن أصح الطرق في ذلك أن يفسر القرآن بالقرآن، فما أجمل في مكان فإنه قد فسر في موضع آخر، وما اختصر في مكان فقد بسط في موضع آخر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5D72D4" w:rsidRDefault="005D72D4" w:rsidP="005D72D4">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لهذا</w:t>
      </w:r>
      <w:proofErr w:type="gramEnd"/>
      <w:r>
        <w:rPr>
          <w:rFonts w:ascii="Simplified Arabic" w:hAnsi="Simplified Arabic" w:cs="Simplified Arabic"/>
          <w:b w:val="0"/>
          <w:bCs w:val="0"/>
          <w:sz w:val="32"/>
          <w:szCs w:val="32"/>
          <w:rtl/>
        </w:rPr>
        <w:t xml:space="preserve"> كان على المفسر النظر في القرآن أولا، فيقابل بين الآيات ويعرض بعضها على بعض ليستعين على ما جاء في موضع؛ موجزا، أو مجملا، أو مبهما، بما فصل في موضع آخر؛ لأن صاحب الكلام أعرف بمعاني كلامه من غيره.</w:t>
      </w:r>
    </w:p>
    <w:p w:rsidR="005D72D4" w:rsidRDefault="005D72D4" w:rsidP="005D72D4">
      <w:pPr>
        <w:pStyle w:val="a3"/>
        <w:spacing w:before="120"/>
        <w:ind w:left="0" w:firstLine="284"/>
        <w:jc w:val="both"/>
        <w:rPr>
          <w:rFonts w:ascii="Simplified Arabic" w:hAnsi="Simplified Arabic" w:cs="Simplified Arabic"/>
          <w:sz w:val="32"/>
          <w:szCs w:val="32"/>
          <w:u w:val="single"/>
          <w:rtl/>
        </w:rPr>
      </w:pPr>
      <w:r>
        <w:rPr>
          <w:rFonts w:ascii="Simplified Arabic" w:hAnsi="Simplified Arabic" w:cs="Simplified Arabic"/>
          <w:sz w:val="32"/>
          <w:szCs w:val="32"/>
          <w:u w:val="single"/>
          <w:rtl/>
        </w:rPr>
        <w:t xml:space="preserve">وتفسير القرآن بالقرآن يرد على وجوه، </w:t>
      </w:r>
      <w:proofErr w:type="gramStart"/>
      <w:r>
        <w:rPr>
          <w:rFonts w:ascii="Simplified Arabic" w:hAnsi="Simplified Arabic" w:cs="Simplified Arabic"/>
          <w:sz w:val="32"/>
          <w:szCs w:val="32"/>
          <w:u w:val="single"/>
          <w:rtl/>
        </w:rPr>
        <w:t>منها</w:t>
      </w:r>
      <w:proofErr w:type="gramEnd"/>
      <w:r>
        <w:rPr>
          <w:rFonts w:ascii="Simplified Arabic" w:hAnsi="Simplified Arabic" w:cs="Simplified Arabic"/>
          <w:sz w:val="32"/>
          <w:szCs w:val="32"/>
          <w:u w:val="single"/>
          <w:rtl/>
        </w:rPr>
        <w:t xml:space="preserve">: </w:t>
      </w:r>
    </w:p>
    <w:p w:rsidR="005D72D4" w:rsidRDefault="005D72D4" w:rsidP="005D72D4">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1</w:t>
      </w:r>
      <w:r>
        <w:rPr>
          <w:rFonts w:ascii="Simplified Arabic" w:hAnsi="Simplified Arabic" w:cs="Simplified Arabic"/>
          <w:sz w:val="32"/>
          <w:szCs w:val="32"/>
          <w:rtl/>
        </w:rPr>
        <w:t>- تبيين المجمل</w:t>
      </w:r>
      <w:r>
        <w:rPr>
          <w:rFonts w:ascii="Simplified Arabic" w:hAnsi="Simplified Arabic" w:cs="Simplified Arabic"/>
          <w:b w:val="0"/>
          <w:bCs w:val="0"/>
          <w:sz w:val="32"/>
          <w:szCs w:val="32"/>
          <w:rtl/>
        </w:rPr>
        <w:t xml:space="preserve">: وقد يكون البيان منفصلا، نحو: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قَالا رَبَّنَا ظَلَمْنَا أَنْفُ</w:t>
      </w:r>
      <w:proofErr w:type="gramStart"/>
      <w:r>
        <w:rPr>
          <w:rFonts w:ascii="Simplified Arabic" w:hAnsi="Simplified Arabic" w:cs="Simplified Arabic"/>
          <w:sz w:val="32"/>
          <w:szCs w:val="32"/>
          <w:rtl/>
        </w:rPr>
        <w:t>سَنَا وَإ</w:t>
      </w:r>
      <w:proofErr w:type="gramEnd"/>
      <w:r>
        <w:rPr>
          <w:rFonts w:ascii="Simplified Arabic" w:hAnsi="Simplified Arabic" w:cs="Simplified Arabic"/>
          <w:sz w:val="32"/>
          <w:szCs w:val="32"/>
          <w:rtl/>
        </w:rPr>
        <w:t>ِنْ لَمْ تَغْفِرْ لَنَا وَتَرْحَمْنَا لَنَكُونَنَّ مِنَ الْخَاسِرِينَ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الأعراف: 23، فقد بينت الإجمال في (</w:t>
      </w:r>
      <w:r>
        <w:rPr>
          <w:rFonts w:ascii="Simplified Arabic" w:hAnsi="Simplified Arabic" w:cs="Simplified Arabic"/>
          <w:sz w:val="32"/>
          <w:szCs w:val="32"/>
          <w:rtl/>
        </w:rPr>
        <w:t>كلمات</w:t>
      </w:r>
      <w:r>
        <w:rPr>
          <w:rFonts w:ascii="Simplified Arabic" w:hAnsi="Simplified Arabic" w:cs="Simplified Arabic"/>
          <w:b w:val="0"/>
          <w:bCs w:val="0"/>
          <w:sz w:val="32"/>
          <w:szCs w:val="32"/>
          <w:rtl/>
        </w:rPr>
        <w:t xml:space="preserve">) من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فَتَلَقَّى آدَمُ مِنْ رَبِّهِ كَلِمَاتٍ فَتَابَ عَلَيْهِ إِنَّهُ هُوَ التَّوَّابُ الرَّحِيمُ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البقرة:37. ونحو: </w:t>
      </w:r>
      <w:r>
        <w:rPr>
          <w:rFonts w:ascii="Simplified Arabic" w:hAnsi="Simplified Arabic" w:cs="Simplified Arabic"/>
          <w:b w:val="0"/>
          <w:bCs w:val="0"/>
          <w:sz w:val="32"/>
          <w:szCs w:val="32"/>
        </w:rPr>
        <w:sym w:font="AGA Arabesque" w:char="F05D"/>
      </w:r>
      <w:r>
        <w:rPr>
          <w:rFonts w:ascii="Simplified Arabic" w:hAnsi="Simplified Arabic" w:cs="Simplified Arabic"/>
          <w:b w:val="0"/>
          <w:bCs w:val="0"/>
          <w:sz w:val="32"/>
          <w:szCs w:val="32"/>
          <w:rtl/>
        </w:rPr>
        <w:t>ف</w:t>
      </w:r>
      <w:r>
        <w:rPr>
          <w:rFonts w:ascii="Simplified Arabic" w:hAnsi="Simplified Arabic" w:cs="Simplified Arabic"/>
          <w:sz w:val="32"/>
          <w:szCs w:val="32"/>
          <w:rtl/>
        </w:rPr>
        <w:t>َأُولَئِكَ مَعَ الَّذِينَ أَنْعَمَ اللَّهُ عَلَيْهِمْ مِنَ النَّبِيِّينَ وَالصِّدِّيقِينَ وَالشُّهَدَاءِ وَالصَّالِحِينَ وَحَسُنَ أُولَئِكَ رَفِيقاً</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النساء:69، وقوله: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أُولَئِكَ الَّذِينَ أَنْعَمَ اللَّهُ عَلَيْهِمْ مِنَ النَّبِيِّينَ مِنْ ذُرِّيَّةِ آدَمَ وَمِمَّنْ حَمَلْنَا مَعَ نُوحٍ وَمِنْ ذُرِّيَّةِ إِبْرَاهِيمَ وَإِسْرائيلَ وَمِمَّنْ هَدَيْنَا وَاجْتَبَيْنَا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مريم:58، بينت الإجمال في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صِرَاطَ الَّذِينَ أَنْعَمْتَ عَلَيْهِمْ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الفاتحة:7. </w:t>
      </w:r>
    </w:p>
    <w:p w:rsidR="005D72D4" w:rsidRDefault="005D72D4" w:rsidP="005D72D4">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وقد يكون بيان المجمل متصلاً نحو: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إِنَّ مَثَلَ عِيسَى عِنْدَ اللَّهِ كَمَثَلِ آدَمَ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آل عمران: 59 فبين وجه المماثلة بينهما بقوله بعدها: </w:t>
      </w:r>
      <w:r>
        <w:rPr>
          <w:rFonts w:ascii="Simplified Arabic" w:hAnsi="Simplified Arabic" w:cs="Simplified Arabic"/>
          <w:b w:val="0"/>
          <w:bCs w:val="0"/>
          <w:sz w:val="32"/>
          <w:szCs w:val="32"/>
        </w:rPr>
        <w:sym w:font="AGA Arabesque" w:char="F07D"/>
      </w:r>
      <w:r>
        <w:rPr>
          <w:rFonts w:ascii="Simplified Arabic" w:hAnsi="Simplified Arabic" w:cs="Simplified Arabic"/>
          <w:sz w:val="32"/>
          <w:szCs w:val="32"/>
          <w:rtl/>
        </w:rPr>
        <w:t>خَلَقَهُ مِنْ تُرَابٍ ثُمَّ قَالَ لَهُ كُنْ فَيَكُونُ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آل عمران: 59. </w:t>
      </w:r>
      <w:proofErr w:type="gramStart"/>
      <w:r>
        <w:rPr>
          <w:rFonts w:ascii="Simplified Arabic" w:hAnsi="Simplified Arabic" w:cs="Simplified Arabic"/>
          <w:b w:val="0"/>
          <w:bCs w:val="0"/>
          <w:sz w:val="32"/>
          <w:szCs w:val="32"/>
          <w:rtl/>
        </w:rPr>
        <w:t>ونحو</w:t>
      </w:r>
      <w:proofErr w:type="gramEnd"/>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وَمَا أَدْرَاكَ مَا الطَّارِقُ، النَّجْمُ الثَّاقِبُ</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tl/>
        </w:rPr>
        <w:lastRenderedPageBreak/>
        <w:t xml:space="preserve">الطارق:2-3. وقوله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أَلا إِنَّ أَوْلِيَاءَ اللَّهِ لا خَوْفٌ عَلَيْهِمْ وَلا هُمْ يَحْزَنُونَ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يونس:62، ثم فسر أولياء الله بقوله بعدها: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الَّذِينَ آمَنُوا وَكَانُوا يَتَّقُونَ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يونس:63 .</w:t>
      </w:r>
    </w:p>
    <w:p w:rsidR="005D72D4" w:rsidRDefault="005D72D4" w:rsidP="005D72D4">
      <w:pPr>
        <w:pStyle w:val="a3"/>
        <w:spacing w:before="120"/>
        <w:ind w:left="0" w:firstLine="284"/>
        <w:jc w:val="both"/>
        <w:rPr>
          <w:rFonts w:ascii="Simplified Arabic" w:hAnsi="Simplified Arabic" w:cs="Simplified Arabic"/>
          <w:b w:val="0"/>
          <w:bCs w:val="0"/>
          <w:sz w:val="32"/>
          <w:szCs w:val="32"/>
          <w:rtl/>
        </w:rPr>
      </w:pPr>
    </w:p>
    <w:p w:rsidR="005D72D4" w:rsidRDefault="005D72D4" w:rsidP="005D72D4">
      <w:pPr>
        <w:pStyle w:val="a3"/>
        <w:spacing w:before="120"/>
        <w:ind w:left="0" w:firstLine="284"/>
        <w:jc w:val="both"/>
        <w:rPr>
          <w:rFonts w:ascii="Simplified Arabic" w:hAnsi="Simplified Arabic" w:cs="Simplified Arabic"/>
          <w:b w:val="0"/>
          <w:bCs w:val="0"/>
          <w:sz w:val="32"/>
          <w:szCs w:val="32"/>
          <w:rtl/>
          <w:lang w:bidi="ar-IQ"/>
        </w:rPr>
      </w:pPr>
      <w:r>
        <w:rPr>
          <w:rFonts w:ascii="Simplified Arabic" w:hAnsi="Simplified Arabic" w:cs="Simplified Arabic"/>
          <w:sz w:val="32"/>
          <w:szCs w:val="32"/>
          <w:rtl/>
        </w:rPr>
        <w:t>2- تفصيل لموجز:</w:t>
      </w:r>
      <w:r>
        <w:rPr>
          <w:rFonts w:ascii="Simplified Arabic" w:hAnsi="Simplified Arabic" w:cs="Simplified Arabic"/>
          <w:b w:val="0"/>
          <w:bCs w:val="0"/>
          <w:sz w:val="32"/>
          <w:szCs w:val="32"/>
          <w:rtl/>
        </w:rPr>
        <w:t xml:space="preserve"> كقوله: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وَإِذْ فَرَقْنَا بِكُمُ الْبَحْرَ فَأَنْجَيْنَاكُمْ وَأَغْرَقْنَا آلَ فِرْعَوْنَ وَأَنْتُمْ تَنْظُرُونَ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البقرة: 50، فبين كيفية إغراقهم بقوله:</w:t>
      </w:r>
      <w:r>
        <w:rPr>
          <w:rFonts w:ascii="Simplified Arabic" w:hAnsi="Simplified Arabic" w:cs="Simplified Arabic"/>
          <w:b w:val="0"/>
          <w:bCs w:val="0"/>
          <w:sz w:val="32"/>
          <w:szCs w:val="32"/>
        </w:rPr>
        <w:sym w:font="AGA Arabesque" w:char="F05D"/>
      </w:r>
      <w:r>
        <w:rPr>
          <w:rFonts w:ascii="Simplified Arabic" w:hAnsi="Simplified Arabic" w:cs="Simplified Arabic"/>
          <w:b w:val="0"/>
          <w:bCs w:val="0"/>
          <w:sz w:val="32"/>
          <w:szCs w:val="32"/>
        </w:rPr>
        <w:t xml:space="preserve"> </w:t>
      </w:r>
      <w:r>
        <w:rPr>
          <w:rFonts w:ascii="Simplified Arabic" w:hAnsi="Simplified Arabic" w:cs="Simplified Arabic"/>
          <w:sz w:val="32"/>
          <w:szCs w:val="32"/>
          <w:rtl/>
        </w:rPr>
        <w:t xml:space="preserve">فَأَوْحَيْنَا إِلَى مُوسَى أَنِ اضْرِبْ بِعَصَاكَ الْبَحْرَ فَانْفَلَقَ فَكَانَ كُلُّ فِرْقٍ كَالطَّوْدِ الْعَظِيمِ، وَأَزْلَفْنَا ثَمَّ الآخَرِينَ، وَأَنْجَيْنَا مُوسَى وَمَنْ مَعَهُ أَجْمَعِينَ، ثُمَّ أَغْرَقْنَا الآخَرِينَ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الشعراء: 63-66، ونحوها من الآيات التي بينت ذلك. وهو كثير في القصص التي ذكرت موجزة في موضع </w:t>
      </w:r>
      <w:proofErr w:type="gramStart"/>
      <w:r>
        <w:rPr>
          <w:rFonts w:ascii="Simplified Arabic" w:hAnsi="Simplified Arabic" w:cs="Simplified Arabic"/>
          <w:b w:val="0"/>
          <w:bCs w:val="0"/>
          <w:sz w:val="32"/>
          <w:szCs w:val="32"/>
          <w:rtl/>
        </w:rPr>
        <w:t>ومفصلة</w:t>
      </w:r>
      <w:proofErr w:type="gramEnd"/>
      <w:r>
        <w:rPr>
          <w:rFonts w:ascii="Simplified Arabic" w:hAnsi="Simplified Arabic" w:cs="Simplified Arabic"/>
          <w:b w:val="0"/>
          <w:bCs w:val="0"/>
          <w:sz w:val="32"/>
          <w:szCs w:val="32"/>
          <w:rtl/>
        </w:rPr>
        <w:t xml:space="preserve"> في موضع آخر. وهكذا ما كان فيه بيان للفظ غير واضح المراد منه، كأن يكون مبهماً أو مشتركاً، وما شاكل ذلك.</w:t>
      </w:r>
    </w:p>
    <w:p w:rsidR="005D72D4" w:rsidRDefault="005D72D4" w:rsidP="005D72D4">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3- تخصيص العام: </w:t>
      </w:r>
      <w:r>
        <w:rPr>
          <w:rFonts w:ascii="Simplified Arabic" w:hAnsi="Simplified Arabic" w:cs="Simplified Arabic"/>
          <w:b w:val="0"/>
          <w:bCs w:val="0"/>
          <w:sz w:val="32"/>
          <w:szCs w:val="32"/>
          <w:rtl/>
        </w:rPr>
        <w:t xml:space="preserve">كقوله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فَانْكِحُوا مَا طَابَ لَكُمْ مِنَ النِّسَاءِ</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w:t>
      </w:r>
      <w:proofErr w:type="spellStart"/>
      <w:r>
        <w:rPr>
          <w:rFonts w:ascii="Simplified Arabic" w:hAnsi="Simplified Arabic" w:cs="Simplified Arabic"/>
          <w:b w:val="0"/>
          <w:bCs w:val="0"/>
          <w:sz w:val="32"/>
          <w:szCs w:val="32"/>
          <w:rtl/>
        </w:rPr>
        <w:t>النساء</w:t>
      </w:r>
      <w:proofErr w:type="spellEnd"/>
      <w:r>
        <w:rPr>
          <w:rFonts w:ascii="Simplified Arabic" w:hAnsi="Simplified Arabic" w:cs="Simplified Arabic"/>
          <w:b w:val="0"/>
          <w:bCs w:val="0"/>
          <w:sz w:val="32"/>
          <w:szCs w:val="32"/>
          <w:rtl/>
        </w:rPr>
        <w:t xml:space="preserve">: 3، فهذا العموم جاء تخصيصه بقوله: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حُرِّمَتْ عَلَيْكُمْ أُمَّهَاتُكُمْ وَبَنَاتُكُمْ وَأَخَوَاتُكُمْ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الآية النساء:23، فأخرج المذكورات هنا مما أفاده عموم الآية الأولى. </w:t>
      </w:r>
    </w:p>
    <w:p w:rsidR="005D72D4" w:rsidRDefault="005D72D4" w:rsidP="005D72D4">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4- تقييد المطلق: </w:t>
      </w:r>
      <w:r>
        <w:rPr>
          <w:rFonts w:ascii="Simplified Arabic" w:hAnsi="Simplified Arabic" w:cs="Simplified Arabic"/>
          <w:b w:val="0"/>
          <w:bCs w:val="0"/>
          <w:sz w:val="32"/>
          <w:szCs w:val="32"/>
          <w:rtl/>
        </w:rPr>
        <w:t xml:space="preserve">كقوله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حُرِّمَتْ عَلَيْكُمُ الْمَيْتَةُ وَالدَّمُ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المائدة:3، فإن لفظ (</w:t>
      </w:r>
      <w:r>
        <w:rPr>
          <w:rFonts w:ascii="Simplified Arabic" w:hAnsi="Simplified Arabic" w:cs="Simplified Arabic"/>
          <w:sz w:val="32"/>
          <w:szCs w:val="32"/>
          <w:rtl/>
        </w:rPr>
        <w:t>الدم</w:t>
      </w:r>
      <w:r>
        <w:rPr>
          <w:rFonts w:ascii="Simplified Arabic" w:hAnsi="Simplified Arabic" w:cs="Simplified Arabic"/>
          <w:b w:val="0"/>
          <w:bCs w:val="0"/>
          <w:sz w:val="32"/>
          <w:szCs w:val="32"/>
          <w:rtl/>
        </w:rPr>
        <w:t xml:space="preserve">) مطلق يفيد بإطلاقه تحريم كل ما يصدق عليه لفظه، ولكنه جاء مقيداً في 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أَوْ دَماً مَسْفُوحاً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الأنعام: 145، فقيد الإطلاق هناك بالمسفوح هنا، وحمل العلماء هاهنا المطلق على المقيد إجماعا، وكذلك الكبد والطحال مجمع عليه، لأن ما خالط اللحم غير محرم إجماعاً، ولولا هذا التقييد لحرم كل دم، مسفوحا كان أو غير مسفوح. </w:t>
      </w:r>
    </w:p>
    <w:p w:rsidR="005D72D4" w:rsidRDefault="005D72D4" w:rsidP="005D72D4">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5- </w:t>
      </w:r>
      <w:proofErr w:type="gramStart"/>
      <w:r>
        <w:rPr>
          <w:rFonts w:ascii="Simplified Arabic" w:hAnsi="Simplified Arabic" w:cs="Simplified Arabic"/>
          <w:sz w:val="32"/>
          <w:szCs w:val="32"/>
          <w:rtl/>
        </w:rPr>
        <w:t>تفسير</w:t>
      </w:r>
      <w:proofErr w:type="gramEnd"/>
      <w:r>
        <w:rPr>
          <w:rFonts w:ascii="Simplified Arabic" w:hAnsi="Simplified Arabic" w:cs="Simplified Arabic"/>
          <w:sz w:val="32"/>
          <w:szCs w:val="32"/>
          <w:rtl/>
        </w:rPr>
        <w:t xml:space="preserve"> القراءات بعضها ببعض: </w:t>
      </w:r>
      <w:r>
        <w:rPr>
          <w:rFonts w:ascii="Simplified Arabic" w:hAnsi="Simplified Arabic" w:cs="Simplified Arabic"/>
          <w:b w:val="0"/>
          <w:bCs w:val="0"/>
          <w:sz w:val="32"/>
          <w:szCs w:val="32"/>
          <w:rtl/>
        </w:rPr>
        <w:t xml:space="preserve">بأن يحمل غير الواضح المراد والمعنى على ما كان واضحا ويفسر به، ما لم يمنع من ذلك مانع معتبر. </w:t>
      </w:r>
      <w:proofErr w:type="gramStart"/>
      <w:r>
        <w:rPr>
          <w:rFonts w:ascii="Simplified Arabic" w:hAnsi="Simplified Arabic" w:cs="Simplified Arabic"/>
          <w:b w:val="0"/>
          <w:bCs w:val="0"/>
          <w:sz w:val="32"/>
          <w:szCs w:val="32"/>
          <w:rtl/>
        </w:rPr>
        <w:t>ونحو</w:t>
      </w:r>
      <w:proofErr w:type="gramEnd"/>
      <w:r>
        <w:rPr>
          <w:rFonts w:ascii="Simplified Arabic" w:hAnsi="Simplified Arabic" w:cs="Simplified Arabic"/>
          <w:b w:val="0"/>
          <w:bCs w:val="0"/>
          <w:sz w:val="32"/>
          <w:szCs w:val="32"/>
          <w:rtl/>
        </w:rPr>
        <w:t xml:space="preserve"> ذلك.   </w:t>
      </w:r>
    </w:p>
    <w:p w:rsidR="005D72D4" w:rsidRDefault="005D72D4" w:rsidP="005D72D4">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وقد اعتمد على هذا المصدر في معرفة معاني كلام الله عدد من العلماء كابن تيمية وابن القيم وابن كثير وجعله الشنقيطي الأساس والمنهج الذي أقام عليه تفسيره </w:t>
      </w:r>
      <w:r>
        <w:rPr>
          <w:rFonts w:ascii="Simplified Arabic" w:hAnsi="Simplified Arabic" w:cs="Simplified Arabic"/>
          <w:b w:val="0"/>
          <w:bCs w:val="0"/>
          <w:sz w:val="32"/>
          <w:szCs w:val="32"/>
          <w:rtl/>
        </w:rPr>
        <w:lastRenderedPageBreak/>
        <w:t>(</w:t>
      </w:r>
      <w:r>
        <w:rPr>
          <w:rFonts w:ascii="Simplified Arabic" w:hAnsi="Simplified Arabic" w:cs="Simplified Arabic"/>
          <w:sz w:val="32"/>
          <w:szCs w:val="32"/>
          <w:rtl/>
        </w:rPr>
        <w:t>أضواء البيان</w:t>
      </w:r>
      <w:r>
        <w:rPr>
          <w:rFonts w:ascii="Simplified Arabic" w:hAnsi="Simplified Arabic" w:cs="Simplified Arabic"/>
          <w:b w:val="0"/>
          <w:bCs w:val="0"/>
          <w:sz w:val="32"/>
          <w:szCs w:val="32"/>
          <w:rtl/>
        </w:rPr>
        <w:t>)، واعتمده عبد الكريم الخطيب أساسا في تفسيره (</w:t>
      </w:r>
      <w:r>
        <w:rPr>
          <w:rFonts w:ascii="Simplified Arabic" w:hAnsi="Simplified Arabic" w:cs="Simplified Arabic"/>
          <w:sz w:val="32"/>
          <w:szCs w:val="32"/>
          <w:rtl/>
        </w:rPr>
        <w:t>تفسير القرآن للقرآن</w:t>
      </w:r>
      <w:r>
        <w:rPr>
          <w:rFonts w:ascii="Simplified Arabic" w:hAnsi="Simplified Arabic" w:cs="Simplified Arabic"/>
          <w:b w:val="0"/>
          <w:bCs w:val="0"/>
          <w:sz w:val="32"/>
          <w:szCs w:val="32"/>
          <w:rtl/>
        </w:rPr>
        <w:t>)، وهو أصل لم يخل أي تفسير من الرجوع إليه سواء قديماً أو حديثاً.</w:t>
      </w:r>
    </w:p>
    <w:p w:rsidR="005D72D4" w:rsidRDefault="005D72D4" w:rsidP="001930B5">
      <w:pPr>
        <w:rPr>
          <w:b/>
          <w:bCs/>
          <w:noProof w:val="0"/>
          <w:sz w:val="28"/>
          <w:szCs w:val="30"/>
          <w:lang w:eastAsia="en-US"/>
        </w:rPr>
      </w:pPr>
    </w:p>
    <w:p w:rsidR="00517753" w:rsidRDefault="00517753">
      <w:pPr>
        <w:rPr>
          <w:lang w:bidi="ar-IQ"/>
        </w:rPr>
      </w:pPr>
    </w:p>
    <w:sectPr w:rsidR="00517753"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A5A0F"/>
    <w:multiLevelType w:val="hybridMultilevel"/>
    <w:tmpl w:val="FC2CBE4A"/>
    <w:lvl w:ilvl="0" w:tplc="BC94177A">
      <w:start w:val="12"/>
      <w:numFmt w:val="bullet"/>
      <w:lvlText w:val="-"/>
      <w:lvlJc w:val="left"/>
      <w:pPr>
        <w:ind w:left="644" w:hanging="360"/>
      </w:pPr>
      <w:rPr>
        <w:rFonts w:ascii="Traditional Arabic" w:eastAsia="Times New Roman" w:hAnsi="Traditional Arabic" w:cs="Traditional Arabic"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B5"/>
    <w:rsid w:val="001930B5"/>
    <w:rsid w:val="00517753"/>
    <w:rsid w:val="005D72D4"/>
    <w:rsid w:val="00A54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B5"/>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5D72D4"/>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B5"/>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5D72D4"/>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1296">
      <w:bodyDiv w:val="1"/>
      <w:marLeft w:val="0"/>
      <w:marRight w:val="0"/>
      <w:marTop w:val="0"/>
      <w:marBottom w:val="0"/>
      <w:divBdr>
        <w:top w:val="none" w:sz="0" w:space="0" w:color="auto"/>
        <w:left w:val="none" w:sz="0" w:space="0" w:color="auto"/>
        <w:bottom w:val="none" w:sz="0" w:space="0" w:color="auto"/>
        <w:right w:val="none" w:sz="0" w:space="0" w:color="auto"/>
      </w:divBdr>
    </w:div>
    <w:div w:id="11680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3436</Characters>
  <Application>Microsoft Office Word</Application>
  <DocSecurity>0</DocSecurity>
  <Lines>28</Lines>
  <Paragraphs>8</Paragraphs>
  <ScaleCrop>false</ScaleCrop>
  <Company>SACC</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2020-03-23T20:18:00Z</dcterms:created>
  <dcterms:modified xsi:type="dcterms:W3CDTF">2020-03-23T20:23:00Z</dcterms:modified>
</cp:coreProperties>
</file>