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7D" w:rsidRDefault="008F3D7D" w:rsidP="008F3D7D">
      <w:pPr>
        <w:bidi/>
        <w:rPr>
          <w:b/>
          <w:bCs/>
          <w:noProof w:val="0"/>
          <w:sz w:val="28"/>
          <w:szCs w:val="30"/>
          <w:lang w:eastAsia="en-US" w:bidi="ar-IQ"/>
        </w:rPr>
      </w:pPr>
      <w:proofErr w:type="gramStart"/>
      <w:r>
        <w:rPr>
          <w:b/>
          <w:bCs/>
          <w:noProof w:val="0"/>
          <w:sz w:val="28"/>
          <w:szCs w:val="30"/>
          <w:rtl/>
          <w:lang w:eastAsia="en-US"/>
        </w:rPr>
        <w:t>المحاضرة  ال</w:t>
      </w:r>
      <w:r>
        <w:rPr>
          <w:rFonts w:hint="cs"/>
          <w:b/>
          <w:bCs/>
          <w:noProof w:val="0"/>
          <w:sz w:val="28"/>
          <w:szCs w:val="30"/>
          <w:rtl/>
          <w:lang w:eastAsia="en-US" w:bidi="ar-IQ"/>
        </w:rPr>
        <w:t>سادسة</w:t>
      </w:r>
      <w:proofErr w:type="gramEnd"/>
      <w:r>
        <w:rPr>
          <w:rFonts w:hint="cs"/>
          <w:b/>
          <w:bCs/>
          <w:noProof w:val="0"/>
          <w:sz w:val="28"/>
          <w:szCs w:val="30"/>
          <w:rtl/>
          <w:lang w:eastAsia="en-US" w:bidi="ar-IQ"/>
        </w:rPr>
        <w:t xml:space="preserve"> </w:t>
      </w:r>
      <w:r>
        <w:rPr>
          <w:b/>
          <w:bCs/>
          <w:noProof w:val="0"/>
          <w:sz w:val="28"/>
          <w:szCs w:val="30"/>
          <w:rtl/>
          <w:lang w:eastAsia="en-US"/>
        </w:rPr>
        <w:t>عشرة</w:t>
      </w:r>
      <w:r>
        <w:rPr>
          <w:b/>
          <w:bCs/>
          <w:noProof w:val="0"/>
          <w:sz w:val="28"/>
          <w:szCs w:val="30"/>
          <w:rtl/>
          <w:lang w:eastAsia="en-US" w:bidi="ar-IQ"/>
        </w:rPr>
        <w:t xml:space="preserve"> </w:t>
      </w:r>
    </w:p>
    <w:p w:rsidR="008F3D7D" w:rsidRDefault="008F3D7D" w:rsidP="008F3D7D">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8F3D7D" w:rsidRDefault="008F3D7D" w:rsidP="008F3D7D">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8F3D7D" w:rsidRDefault="008F3D7D" w:rsidP="008F3D7D">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8F3D7D" w:rsidRDefault="008F3D7D" w:rsidP="008F3D7D">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8F3D7D" w:rsidRDefault="008F3D7D" w:rsidP="008F3D7D">
      <w:pPr>
        <w:bidi/>
        <w:spacing w:after="200"/>
        <w:rPr>
          <w:b/>
          <w:bCs/>
          <w:noProof w:val="0"/>
          <w:sz w:val="28"/>
          <w:szCs w:val="30"/>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8F3D7D" w:rsidRDefault="008F3D7D" w:rsidP="008F3D7D">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8F3D7D" w:rsidRDefault="008F3D7D" w:rsidP="008F3D7D">
      <w:pPr>
        <w:jc w:val="right"/>
        <w:rPr>
          <w:rFonts w:ascii="Simplified Arabic" w:hAnsi="Simplified Arabic" w:cs="Simplified Arabic"/>
          <w:b/>
          <w:bCs/>
          <w:noProof w:val="0"/>
          <w:sz w:val="36"/>
          <w:szCs w:val="36"/>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bidi="ar-IQ"/>
        </w:rPr>
        <w:t xml:space="preserve"> </w:t>
      </w:r>
      <w:r w:rsidR="00E40926">
        <w:rPr>
          <w:rFonts w:hint="cs"/>
          <w:b/>
          <w:bCs/>
          <w:noProof w:val="0"/>
          <w:sz w:val="28"/>
          <w:szCs w:val="30"/>
          <w:rtl/>
          <w:lang w:eastAsia="en-US" w:bidi="ar-IQ"/>
        </w:rPr>
        <w:t xml:space="preserve">مرتبة حجية السنة في التفسير . </w:t>
      </w:r>
      <w:r>
        <w:rPr>
          <w:b/>
          <w:bCs/>
          <w:noProof w:val="0"/>
          <w:sz w:val="28"/>
          <w:szCs w:val="30"/>
          <w:rtl/>
          <w:lang w:eastAsia="en-US" w:bidi="ar-IQ"/>
        </w:rPr>
        <w:t xml:space="preserve"> </w:t>
      </w:r>
    </w:p>
    <w:p w:rsidR="008F3D7D" w:rsidRDefault="008F3D7D" w:rsidP="008F3D7D">
      <w:pPr>
        <w:rPr>
          <w:b/>
          <w:bCs/>
          <w:noProof w:val="0"/>
          <w:sz w:val="28"/>
          <w:szCs w:val="30"/>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rFonts w:hint="cs"/>
          <w:b/>
          <w:bCs/>
          <w:noProof w:val="0"/>
          <w:sz w:val="28"/>
          <w:szCs w:val="30"/>
          <w:rtl/>
          <w:lang w:eastAsia="en-US"/>
        </w:rPr>
      </w:pPr>
    </w:p>
    <w:p w:rsidR="00E40926" w:rsidRDefault="00E40926" w:rsidP="008F3D7D">
      <w:pPr>
        <w:rPr>
          <w:b/>
          <w:bCs/>
          <w:noProof w:val="0"/>
          <w:sz w:val="28"/>
          <w:szCs w:val="30"/>
          <w:lang w:eastAsia="en-US"/>
        </w:rPr>
      </w:pPr>
    </w:p>
    <w:p w:rsidR="00E40926" w:rsidRDefault="00E40926" w:rsidP="00E40926">
      <w:pPr>
        <w:pStyle w:val="a3"/>
        <w:spacing w:before="120"/>
        <w:ind w:left="0" w:firstLine="284"/>
        <w:jc w:val="center"/>
        <w:rPr>
          <w:rFonts w:ascii="Simplified Arabic" w:hAnsi="Simplified Arabic" w:cs="Simplified Arabic" w:hint="cs"/>
          <w:sz w:val="32"/>
          <w:szCs w:val="32"/>
          <w:rtl/>
          <w:lang w:bidi="ar-IQ"/>
        </w:rPr>
      </w:pPr>
      <w:r>
        <w:rPr>
          <w:rFonts w:ascii="Simplified Arabic" w:hAnsi="Simplified Arabic" w:cs="Simplified Arabic"/>
          <w:sz w:val="32"/>
          <w:szCs w:val="32"/>
          <w:rtl/>
        </w:rPr>
        <w:lastRenderedPageBreak/>
        <w:t>مرتبة حجية السنة في التفسير</w:t>
      </w:r>
    </w:p>
    <w:p w:rsidR="00E40926" w:rsidRDefault="00E40926" w:rsidP="00E40926">
      <w:pPr>
        <w:pStyle w:val="a3"/>
        <w:spacing w:before="120"/>
        <w:ind w:left="0" w:firstLine="284"/>
        <w:jc w:val="both"/>
        <w:rPr>
          <w:rFonts w:ascii="Simplified Arabic" w:hAnsi="Simplified Arabic" w:cs="Simplified Arabic"/>
          <w:b w:val="0"/>
          <w:bCs w:val="0"/>
          <w:sz w:val="32"/>
          <w:szCs w:val="32"/>
          <w:u w:val="single"/>
          <w:rtl/>
        </w:rPr>
      </w:pPr>
      <w:r>
        <w:rPr>
          <w:rFonts w:ascii="Simplified Arabic" w:hAnsi="Simplified Arabic" w:cs="Simplified Arabic"/>
          <w:b w:val="0"/>
          <w:bCs w:val="0"/>
          <w:sz w:val="32"/>
          <w:szCs w:val="32"/>
          <w:u w:val="single"/>
          <w:rtl/>
        </w:rPr>
        <w:t xml:space="preserve">إن المنقول عن الرسول </w:t>
      </w:r>
      <w:r>
        <w:rPr>
          <w:rFonts w:ascii="Simplified Arabic" w:hAnsi="Simplified Arabic" w:cs="Simplified Arabic"/>
          <w:sz w:val="32"/>
          <w:szCs w:val="32"/>
          <w:u w:val="single"/>
        </w:rPr>
        <w:sym w:font="AGA Arabesque" w:char="F065"/>
      </w:r>
      <w:r>
        <w:rPr>
          <w:rFonts w:ascii="Simplified Arabic" w:hAnsi="Simplified Arabic" w:cs="Simplified Arabic"/>
          <w:b w:val="0"/>
          <w:bCs w:val="0"/>
          <w:sz w:val="32"/>
          <w:szCs w:val="32"/>
          <w:u w:val="single"/>
          <w:rtl/>
        </w:rPr>
        <w:t xml:space="preserve"> في التفسير يرد على طريقتين:</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 أولا- المنقول بطريق التواتر:</w:t>
      </w:r>
      <w:r>
        <w:rPr>
          <w:rFonts w:ascii="Simplified Arabic" w:hAnsi="Simplified Arabic" w:cs="Simplified Arabic"/>
          <w:b w:val="0"/>
          <w:bCs w:val="0"/>
          <w:sz w:val="32"/>
          <w:szCs w:val="32"/>
          <w:rtl/>
        </w:rPr>
        <w:t xml:space="preserve"> وهو الذي ينقله جمع يقطع العقل بصدقهم، ويمنع احتمال </w:t>
      </w:r>
      <w:proofErr w:type="spellStart"/>
      <w:r>
        <w:rPr>
          <w:rFonts w:ascii="Simplified Arabic" w:hAnsi="Simplified Arabic" w:cs="Simplified Arabic"/>
          <w:b w:val="0"/>
          <w:bCs w:val="0"/>
          <w:sz w:val="32"/>
          <w:szCs w:val="32"/>
          <w:rtl/>
        </w:rPr>
        <w:t>تواطئهم</w:t>
      </w:r>
      <w:proofErr w:type="spellEnd"/>
      <w:r>
        <w:rPr>
          <w:rFonts w:ascii="Simplified Arabic" w:hAnsi="Simplified Arabic" w:cs="Simplified Arabic"/>
          <w:b w:val="0"/>
          <w:bCs w:val="0"/>
          <w:sz w:val="32"/>
          <w:szCs w:val="32"/>
          <w:rtl/>
        </w:rPr>
        <w:t xml:space="preserve"> على الكذب، وسواء كان متواترا تواترا لفظيا أم معنويا، مثاله: ما نقلته الأمة خلفا عن سلف من تفصيل أحكام الصلاة وكيفياتها، وأحكام الزكاة، والحج وغيرها من الفرائض والأحكام المجملة في القرآن، فمثل هذا لا خلاف مطلقا بإفادته القطع والعلم اليقيني، ووجوب العمل به، وعدم صحة تجاوزه، ويكفر جاحده.</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وهذا</w:t>
      </w:r>
      <w:proofErr w:type="gramEnd"/>
      <w:r>
        <w:rPr>
          <w:rFonts w:ascii="Simplified Arabic" w:hAnsi="Simplified Arabic" w:cs="Simplified Arabic"/>
          <w:b w:val="0"/>
          <w:bCs w:val="0"/>
          <w:sz w:val="32"/>
          <w:szCs w:val="32"/>
          <w:rtl/>
        </w:rPr>
        <w:t xml:space="preserve"> النوع من التفسير المنقول عنه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يفسر به القرآن، ويؤخذ به في المسائل العملية والعقائدية على حد سواء، من التي اشتملت عليها آيات القرآن الكريم.</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  ثانيا- المنقول بطريق الآحاد:</w:t>
      </w:r>
      <w:r>
        <w:rPr>
          <w:rFonts w:ascii="Simplified Arabic" w:hAnsi="Simplified Arabic" w:cs="Simplified Arabic"/>
          <w:b w:val="0"/>
          <w:bCs w:val="0"/>
          <w:sz w:val="32"/>
          <w:szCs w:val="32"/>
          <w:rtl/>
        </w:rPr>
        <w:t xml:space="preserve"> وهو الذي لم يبلغ رواته حد التواتر، مثاله تفسيره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الزيادة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لِلَّذِينَ أَحْسَنُوا الْحُسْنَى وَزِيَادَةٌ وَلا يَرْهَقُ وُجُوهَهُمْ قَتَرٌ وَلا ذِلَّةٌ أُولَئِكَ أَصْحَابُ الْجَنَّةِ هُمْ فِيهَا خَالِدُونَ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يونس:26، ففسر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الزيادة بالنظر إلى وجه الله تبارك وتعالى، فقد أخرج مسلم في صحيحه عن صهيب بن سنان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في حديث قال فيه :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فكشف الحجاب، فما أعطوا شيئا أحب إليهم من النظر إلى ربهم عز وجل، ثم تلا هذه الآية: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لِلَّذِينَ أَحْسَنُوا الْحُسْنَى وَزِيَادَةٌ</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الآية. وأخرجه ابن جرير الطبري وابن أبي حاتم </w:t>
      </w:r>
      <w:proofErr w:type="spellStart"/>
      <w:r>
        <w:rPr>
          <w:rFonts w:ascii="Simplified Arabic" w:hAnsi="Simplified Arabic" w:cs="Simplified Arabic"/>
          <w:b w:val="0"/>
          <w:bCs w:val="0"/>
          <w:sz w:val="32"/>
          <w:szCs w:val="32"/>
          <w:rtl/>
        </w:rPr>
        <w:t>واللالكائي</w:t>
      </w:r>
      <w:proofErr w:type="spellEnd"/>
      <w:r>
        <w:rPr>
          <w:rFonts w:ascii="Simplified Arabic" w:hAnsi="Simplified Arabic" w:cs="Simplified Arabic"/>
          <w:b w:val="0"/>
          <w:bCs w:val="0"/>
          <w:sz w:val="32"/>
          <w:szCs w:val="32"/>
          <w:rtl/>
        </w:rPr>
        <w:t xml:space="preserve"> عن أبيّ بن كعب، وأخرجه ابن جرير الطبري </w:t>
      </w:r>
      <w:proofErr w:type="spellStart"/>
      <w:r>
        <w:rPr>
          <w:rFonts w:ascii="Simplified Arabic" w:hAnsi="Simplified Arabic" w:cs="Simplified Arabic"/>
          <w:b w:val="0"/>
          <w:bCs w:val="0"/>
          <w:sz w:val="32"/>
          <w:szCs w:val="32"/>
          <w:rtl/>
        </w:rPr>
        <w:t>واللالكائي</w:t>
      </w:r>
      <w:proofErr w:type="spellEnd"/>
      <w:r>
        <w:rPr>
          <w:rFonts w:ascii="Simplified Arabic" w:hAnsi="Simplified Arabic" w:cs="Simplified Arabic"/>
          <w:b w:val="0"/>
          <w:bCs w:val="0"/>
          <w:sz w:val="32"/>
          <w:szCs w:val="32"/>
          <w:rtl/>
        </w:rPr>
        <w:t xml:space="preserve"> من حديث كعب بن عجرة، وهذا النوع يرد على وجوه:</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أ-فإن ثبت النقل برواية العدل وعضدته القرائن</w:t>
      </w:r>
      <w:r>
        <w:rPr>
          <w:rFonts w:ascii="Simplified Arabic" w:hAnsi="Simplified Arabic" w:cs="Simplified Arabic"/>
          <w:b w:val="0"/>
          <w:bCs w:val="0"/>
          <w:sz w:val="32"/>
          <w:szCs w:val="32"/>
          <w:rtl/>
        </w:rPr>
        <w:t>، أفاد العلم القطعي عند الجمهور، ووجب الأخذ به في التفسير، وحكمه حكم المتواتر.</w:t>
      </w:r>
    </w:p>
    <w:p w:rsidR="00E40926" w:rsidRDefault="00E40926" w:rsidP="00E40926">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وهذه القرائن يمكن ضبطها بما تسكن إليه النفس، كسكونها إلى المتواتر أو قريب منه، بحيث لا يبقى فيها احتمال بعده . والحالات التي توجب العلم عند </w:t>
      </w:r>
      <w:proofErr w:type="gramStart"/>
      <w:r>
        <w:rPr>
          <w:rFonts w:ascii="Simplified Arabic" w:hAnsi="Simplified Arabic" w:cs="Simplified Arabic"/>
          <w:b w:val="0"/>
          <w:bCs w:val="0"/>
          <w:sz w:val="32"/>
          <w:szCs w:val="32"/>
          <w:rtl/>
        </w:rPr>
        <w:t>خبر</w:t>
      </w:r>
      <w:proofErr w:type="gramEnd"/>
      <w:r>
        <w:rPr>
          <w:rFonts w:ascii="Simplified Arabic" w:hAnsi="Simplified Arabic" w:cs="Simplified Arabic"/>
          <w:b w:val="0"/>
          <w:bCs w:val="0"/>
          <w:sz w:val="32"/>
          <w:szCs w:val="32"/>
          <w:rtl/>
        </w:rPr>
        <w:t xml:space="preserve"> الآحاد الذي يرويه العدل كثيرة.</w:t>
      </w:r>
    </w:p>
    <w:p w:rsidR="00E40926" w:rsidRDefault="00E40926" w:rsidP="00E40926">
      <w:pPr>
        <w:pStyle w:val="a3"/>
        <w:spacing w:before="120"/>
        <w:ind w:left="0" w:firstLine="284"/>
        <w:jc w:val="both"/>
        <w:rPr>
          <w:rFonts w:ascii="Simplified Arabic" w:hAnsi="Simplified Arabic" w:cs="Simplified Arabic"/>
          <w:b w:val="0"/>
          <w:bCs w:val="0"/>
          <w:sz w:val="32"/>
          <w:szCs w:val="32"/>
        </w:rPr>
      </w:pPr>
      <w:r>
        <w:rPr>
          <w:rFonts w:ascii="Simplified Arabic" w:hAnsi="Simplified Arabic" w:cs="Simplified Arabic"/>
          <w:sz w:val="32"/>
          <w:szCs w:val="32"/>
          <w:rtl/>
        </w:rPr>
        <w:lastRenderedPageBreak/>
        <w:t>ب- وإن لم تعضده القرائن فإنه يفيد بنفسه الظن عند الجمهور</w:t>
      </w:r>
      <w:r>
        <w:rPr>
          <w:rFonts w:ascii="Simplified Arabic" w:hAnsi="Simplified Arabic" w:cs="Simplified Arabic"/>
          <w:b w:val="0"/>
          <w:bCs w:val="0"/>
          <w:sz w:val="32"/>
          <w:szCs w:val="32"/>
          <w:rtl/>
        </w:rPr>
        <w:t>، وهو كاف لوجوب العمل به، وتفسر به الآيات التي لا يحتاج في إثباتها إلى دليل قطعي  كآيات أصول الدين، فإنها ثبتت بالأدلة القطعية اليقينية.</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ونقل عن الإمام أحمد أن خبر الآحاد </w:t>
      </w:r>
      <w:proofErr w:type="gramStart"/>
      <w:r>
        <w:rPr>
          <w:rFonts w:ascii="Simplified Arabic" w:hAnsi="Simplified Arabic" w:cs="Simplified Arabic"/>
          <w:b w:val="0"/>
          <w:bCs w:val="0"/>
          <w:sz w:val="32"/>
          <w:szCs w:val="32"/>
          <w:rtl/>
        </w:rPr>
        <w:t>يفيد</w:t>
      </w:r>
      <w:proofErr w:type="gramEnd"/>
      <w:r>
        <w:rPr>
          <w:rFonts w:ascii="Simplified Arabic" w:hAnsi="Simplified Arabic" w:cs="Simplified Arabic"/>
          <w:b w:val="0"/>
          <w:bCs w:val="0"/>
          <w:sz w:val="32"/>
          <w:szCs w:val="32"/>
          <w:rtl/>
        </w:rPr>
        <w:t xml:space="preserve"> العلم. وبه قال ابن حزم الظاهري وحكاه عن جماعة بقوله: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قال أبو سليمان -داود الظاهري- والحسين بن علي </w:t>
      </w:r>
      <w:proofErr w:type="spellStart"/>
      <w:r>
        <w:rPr>
          <w:rFonts w:ascii="Simplified Arabic" w:hAnsi="Simplified Arabic" w:cs="Simplified Arabic"/>
          <w:b w:val="0"/>
          <w:bCs w:val="0"/>
          <w:sz w:val="32"/>
          <w:szCs w:val="32"/>
          <w:rtl/>
        </w:rPr>
        <w:t>الكرابيسي</w:t>
      </w:r>
      <w:proofErr w:type="spellEnd"/>
      <w:r>
        <w:rPr>
          <w:rFonts w:ascii="Simplified Arabic" w:hAnsi="Simplified Arabic" w:cs="Simplified Arabic"/>
          <w:b w:val="0"/>
          <w:bCs w:val="0"/>
          <w:sz w:val="32"/>
          <w:szCs w:val="32"/>
          <w:rtl/>
        </w:rPr>
        <w:t xml:space="preserve"> والحارث بن أسد المحاسبي وغيرهم : إن خبر الواحد العدل عن مثله إلى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يوجب العلم والعمل معاً، وبهذا نقول، وقد ذكر هذا القول أحمد بن إسحاق المعروف بابن </w:t>
      </w:r>
      <w:proofErr w:type="spellStart"/>
      <w:r>
        <w:rPr>
          <w:rFonts w:ascii="Simplified Arabic" w:hAnsi="Simplified Arabic" w:cs="Simplified Arabic"/>
          <w:b w:val="0"/>
          <w:bCs w:val="0"/>
          <w:sz w:val="32"/>
          <w:szCs w:val="32"/>
          <w:rtl/>
        </w:rPr>
        <w:t>خويز</w:t>
      </w:r>
      <w:proofErr w:type="spellEnd"/>
      <w:r>
        <w:rPr>
          <w:rFonts w:ascii="Simplified Arabic" w:hAnsi="Simplified Arabic" w:cs="Simplified Arabic"/>
          <w:b w:val="0"/>
          <w:bCs w:val="0"/>
          <w:sz w:val="32"/>
          <w:szCs w:val="32"/>
          <w:rtl/>
        </w:rPr>
        <w:t xml:space="preserve"> </w:t>
      </w:r>
      <w:proofErr w:type="spellStart"/>
      <w:r>
        <w:rPr>
          <w:rFonts w:ascii="Simplified Arabic" w:hAnsi="Simplified Arabic" w:cs="Simplified Arabic"/>
          <w:b w:val="0"/>
          <w:bCs w:val="0"/>
          <w:sz w:val="32"/>
          <w:szCs w:val="32"/>
          <w:rtl/>
        </w:rPr>
        <w:t>منداد</w:t>
      </w:r>
      <w:proofErr w:type="spellEnd"/>
      <w:r>
        <w:rPr>
          <w:rFonts w:ascii="Simplified Arabic" w:hAnsi="Simplified Arabic" w:cs="Simplified Arabic"/>
          <w:b w:val="0"/>
          <w:bCs w:val="0"/>
          <w:sz w:val="32"/>
          <w:szCs w:val="32"/>
          <w:rtl/>
        </w:rPr>
        <w:t xml:space="preserve"> عن مالك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والعلماء</w:t>
      </w:r>
      <w:proofErr w:type="gramEnd"/>
      <w:r>
        <w:rPr>
          <w:rFonts w:ascii="Simplified Arabic" w:hAnsi="Simplified Arabic" w:cs="Simplified Arabic"/>
          <w:b w:val="0"/>
          <w:bCs w:val="0"/>
          <w:sz w:val="32"/>
          <w:szCs w:val="32"/>
          <w:rtl/>
        </w:rPr>
        <w:t xml:space="preserve"> إذ اختلفوا في درجة إفادة خبر الآحاد بين القطع أو العلم والظن، فإنهم متفقون على وجوب العمل به، وأنه يثبت المعنى والحكم، إذا صحت روايته، وأنه يفسر به القرآن الكريم. وأن الظن هنا ليس مرادا به الشك والوهم، وإنما الاحتمال الراجح الذي قام على دليل ترجح به أحد </w:t>
      </w:r>
      <w:proofErr w:type="gramStart"/>
      <w:r>
        <w:rPr>
          <w:rFonts w:ascii="Simplified Arabic" w:hAnsi="Simplified Arabic" w:cs="Simplified Arabic"/>
          <w:b w:val="0"/>
          <w:bCs w:val="0"/>
          <w:sz w:val="32"/>
          <w:szCs w:val="32"/>
          <w:rtl/>
        </w:rPr>
        <w:t>الاحتمالين .</w:t>
      </w:r>
      <w:proofErr w:type="gramEnd"/>
      <w:r>
        <w:rPr>
          <w:rFonts w:ascii="Simplified Arabic" w:hAnsi="Simplified Arabic" w:cs="Simplified Arabic"/>
          <w:b w:val="0"/>
          <w:bCs w:val="0"/>
          <w:sz w:val="32"/>
          <w:szCs w:val="32"/>
          <w:rtl/>
        </w:rPr>
        <w:t xml:space="preserve"> </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وأن من قال من العلماء بأن أخبار الآحاد التي لم تعضدها القرائن لا تفسر بها آيات العقائد، ولا تعد حجة قطعية فيها، وإنما تفسر بها آيات الأحكام، فإنهم يرون بأن أصول الدين وقواعد العقائد قد ثبتت بالأدلة المتواترة من الكتاب والسنة، لأن مثلها مما تدعو العادة إلى تواتر نقلها، فلم تنقل بأخبار آحاد .</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بيد</w:t>
      </w:r>
      <w:proofErr w:type="gramEnd"/>
      <w:r>
        <w:rPr>
          <w:rFonts w:ascii="Simplified Arabic" w:hAnsi="Simplified Arabic" w:cs="Simplified Arabic"/>
          <w:b w:val="0"/>
          <w:bCs w:val="0"/>
          <w:sz w:val="32"/>
          <w:szCs w:val="32"/>
          <w:rtl/>
        </w:rPr>
        <w:t xml:space="preserve"> أن من العلماء من يطلق العلم بمعناه الأعم، ومنهم من يطلقه بعناه الأخص، لأن العلم يطلق وقد يراد به الإدراك الجازم، وقد يراد به الإدراك الجازم والإدراك الراجح، فيعم به القطعي والظني. وعلى هذا الأساس فإن الخلاف يكاد أن يكون ضيقاً جداً، إن لم يكن لفظياً عند الكثير </w:t>
      </w:r>
      <w:proofErr w:type="gramStart"/>
      <w:r>
        <w:rPr>
          <w:rFonts w:ascii="Simplified Arabic" w:hAnsi="Simplified Arabic" w:cs="Simplified Arabic"/>
          <w:b w:val="0"/>
          <w:bCs w:val="0"/>
          <w:sz w:val="32"/>
          <w:szCs w:val="32"/>
          <w:rtl/>
        </w:rPr>
        <w:t>منهم .</w:t>
      </w:r>
      <w:proofErr w:type="gramEnd"/>
      <w:r>
        <w:rPr>
          <w:rFonts w:ascii="Simplified Arabic" w:hAnsi="Simplified Arabic" w:cs="Simplified Arabic"/>
          <w:b w:val="0"/>
          <w:bCs w:val="0"/>
          <w:sz w:val="32"/>
          <w:szCs w:val="32"/>
          <w:rtl/>
        </w:rPr>
        <w:t xml:space="preserve"> </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 xml:space="preserve">ج- </w:t>
      </w:r>
      <w:proofErr w:type="gramStart"/>
      <w:r>
        <w:rPr>
          <w:rFonts w:ascii="Simplified Arabic" w:hAnsi="Simplified Arabic" w:cs="Simplified Arabic"/>
          <w:sz w:val="32"/>
          <w:szCs w:val="32"/>
          <w:rtl/>
        </w:rPr>
        <w:t>الخبر</w:t>
      </w:r>
      <w:proofErr w:type="gramEnd"/>
      <w:r>
        <w:rPr>
          <w:rFonts w:ascii="Simplified Arabic" w:hAnsi="Simplified Arabic" w:cs="Simplified Arabic"/>
          <w:sz w:val="32"/>
          <w:szCs w:val="32"/>
          <w:rtl/>
        </w:rPr>
        <w:t xml:space="preserve"> المشهور، وهو الذي رواه اثنان أو ثلاثة في القرن الأول</w:t>
      </w:r>
      <w:r>
        <w:rPr>
          <w:rFonts w:ascii="Simplified Arabic" w:hAnsi="Simplified Arabic" w:cs="Simplified Arabic"/>
          <w:b w:val="0"/>
          <w:bCs w:val="0"/>
          <w:sz w:val="32"/>
          <w:szCs w:val="32"/>
          <w:rtl/>
        </w:rPr>
        <w:t xml:space="preserve">، ثم اشتهر في الثاني والثالث، وتواتر رواته إلى حد ينقله </w:t>
      </w:r>
      <w:proofErr w:type="spellStart"/>
      <w:r>
        <w:rPr>
          <w:rFonts w:ascii="Simplified Arabic" w:hAnsi="Simplified Arabic" w:cs="Simplified Arabic"/>
          <w:b w:val="0"/>
          <w:bCs w:val="0"/>
          <w:sz w:val="32"/>
          <w:szCs w:val="32"/>
          <w:rtl/>
        </w:rPr>
        <w:t>ثقاة</w:t>
      </w:r>
      <w:proofErr w:type="spellEnd"/>
      <w:r>
        <w:rPr>
          <w:rFonts w:ascii="Simplified Arabic" w:hAnsi="Simplified Arabic" w:cs="Simplified Arabic"/>
          <w:b w:val="0"/>
          <w:bCs w:val="0"/>
          <w:sz w:val="32"/>
          <w:szCs w:val="32"/>
          <w:rtl/>
        </w:rPr>
        <w:t xml:space="preserve"> لا يتوهم تواطؤهم على الكذب. قال الجصاص من الحنفية: إنه يفيد العلم القطعي </w:t>
      </w:r>
      <w:proofErr w:type="spellStart"/>
      <w:r>
        <w:rPr>
          <w:rFonts w:ascii="Simplified Arabic" w:hAnsi="Simplified Arabic" w:cs="Simplified Arabic"/>
          <w:b w:val="0"/>
          <w:bCs w:val="0"/>
          <w:sz w:val="32"/>
          <w:szCs w:val="32"/>
          <w:rtl/>
        </w:rPr>
        <w:t>اليقني</w:t>
      </w:r>
      <w:proofErr w:type="spellEnd"/>
      <w:r>
        <w:rPr>
          <w:rFonts w:ascii="Simplified Arabic" w:hAnsi="Simplified Arabic" w:cs="Simplified Arabic"/>
          <w:b w:val="0"/>
          <w:bCs w:val="0"/>
          <w:sz w:val="32"/>
          <w:szCs w:val="32"/>
          <w:rtl/>
        </w:rPr>
        <w:t xml:space="preserve"> كالمتواتر، وبه قال جماعة من الشافعية وآخرون. </w:t>
      </w:r>
      <w:proofErr w:type="gramStart"/>
      <w:r>
        <w:rPr>
          <w:rFonts w:ascii="Simplified Arabic" w:hAnsi="Simplified Arabic" w:cs="Simplified Arabic"/>
          <w:b w:val="0"/>
          <w:bCs w:val="0"/>
          <w:sz w:val="32"/>
          <w:szCs w:val="32"/>
          <w:rtl/>
        </w:rPr>
        <w:t>وعند</w:t>
      </w:r>
      <w:proofErr w:type="gramEnd"/>
      <w:r>
        <w:rPr>
          <w:rFonts w:ascii="Simplified Arabic" w:hAnsi="Simplified Arabic" w:cs="Simplified Arabic"/>
          <w:b w:val="0"/>
          <w:bCs w:val="0"/>
          <w:sz w:val="32"/>
          <w:szCs w:val="32"/>
          <w:rtl/>
        </w:rPr>
        <w:t xml:space="preserve"> جمهور الحنفية يفيد علم الطمأنينة، (</w:t>
      </w:r>
      <w:r>
        <w:rPr>
          <w:rFonts w:ascii="Simplified Arabic" w:hAnsi="Simplified Arabic" w:cs="Simplified Arabic"/>
          <w:sz w:val="32"/>
          <w:szCs w:val="32"/>
          <w:rtl/>
        </w:rPr>
        <w:t xml:space="preserve">وهو فوق </w:t>
      </w:r>
      <w:r>
        <w:rPr>
          <w:rFonts w:ascii="Simplified Arabic" w:hAnsi="Simplified Arabic" w:cs="Simplified Arabic"/>
          <w:sz w:val="32"/>
          <w:szCs w:val="32"/>
          <w:rtl/>
        </w:rPr>
        <w:lastRenderedPageBreak/>
        <w:t>الظن الغالب ودون اليقين</w:t>
      </w:r>
      <w:r>
        <w:rPr>
          <w:rFonts w:ascii="Simplified Arabic" w:hAnsi="Simplified Arabic" w:cs="Simplified Arabic"/>
          <w:b w:val="0"/>
          <w:bCs w:val="0"/>
          <w:sz w:val="32"/>
          <w:szCs w:val="32"/>
          <w:rtl/>
        </w:rPr>
        <w:t>)، لكنه لا يكفر جاحده، وإنما يبدع. وعند الجمهور هو من الآحاد، وحكمه كحكم الآحاد.</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وداخل في بابه.</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ويجب العمل به عند الجميع في تفسير القرآن، من ذلك تقييد الحل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وَأُحِلَّ لَكُمْ مَا وَرَاءَ </w:t>
      </w:r>
      <w:proofErr w:type="gramStart"/>
      <w:r>
        <w:rPr>
          <w:rFonts w:ascii="Simplified Arabic" w:hAnsi="Simplified Arabic" w:cs="Simplified Arabic"/>
          <w:sz w:val="32"/>
          <w:szCs w:val="32"/>
          <w:rtl/>
        </w:rPr>
        <w:t>ذَلِكُمْ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w:t>
      </w:r>
      <w:proofErr w:type="gramEnd"/>
      <w:r>
        <w:rPr>
          <w:rFonts w:ascii="Simplified Arabic" w:hAnsi="Simplified Arabic" w:cs="Simplified Arabic"/>
          <w:b w:val="0"/>
          <w:bCs w:val="0"/>
          <w:sz w:val="32"/>
          <w:szCs w:val="32"/>
          <w:rtl/>
        </w:rPr>
        <w:t xml:space="preserve">:24، بقوله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sz w:val="32"/>
          <w:szCs w:val="32"/>
          <w:rtl/>
        </w:rPr>
        <w:t>لا يجمع بين المرأة وعمتها ولا بين المرأة وخالتها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ويخصص</w:t>
      </w:r>
      <w:proofErr w:type="gramEnd"/>
      <w:r>
        <w:rPr>
          <w:rFonts w:ascii="Simplified Arabic" w:hAnsi="Simplified Arabic" w:cs="Simplified Arabic"/>
          <w:b w:val="0"/>
          <w:bCs w:val="0"/>
          <w:sz w:val="32"/>
          <w:szCs w:val="32"/>
          <w:rtl/>
        </w:rPr>
        <w:t xml:space="preserve"> بها عموم القرآن كحديث: </w:t>
      </w:r>
      <w:r>
        <w:rPr>
          <w:rFonts w:ascii="Simplified Arabic" w:hAnsi="Simplified Arabic" w:cs="Simplified Arabic"/>
          <w:b w:val="0"/>
          <w:bCs w:val="0"/>
          <w:sz w:val="32"/>
          <w:szCs w:val="32"/>
        </w:rPr>
        <w:t>»</w:t>
      </w:r>
      <w:r>
        <w:rPr>
          <w:rFonts w:ascii="Simplified Arabic" w:hAnsi="Simplified Arabic" w:cs="Simplified Arabic"/>
          <w:sz w:val="32"/>
          <w:szCs w:val="32"/>
          <w:rtl/>
        </w:rPr>
        <w:t>لا يرث القاتل شيئاً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 </w:t>
      </w:r>
      <w:r>
        <w:rPr>
          <w:rFonts w:ascii="Simplified Arabic" w:hAnsi="Simplified Arabic" w:cs="Simplified Arabic"/>
          <w:b w:val="0"/>
          <w:bCs w:val="0"/>
          <w:sz w:val="32"/>
          <w:szCs w:val="32"/>
        </w:rPr>
        <w:t>»</w:t>
      </w:r>
      <w:r>
        <w:rPr>
          <w:rFonts w:ascii="Simplified Arabic" w:hAnsi="Simplified Arabic" w:cs="Simplified Arabic"/>
          <w:sz w:val="32"/>
          <w:szCs w:val="32"/>
          <w:rtl/>
        </w:rPr>
        <w:t>نحن معاشر الأنبياء لا نورث</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فقد خصصا عموم آيات الفرائض بالنسبة للوارث والموروث. </w:t>
      </w:r>
    </w:p>
    <w:p w:rsidR="00E40926" w:rsidRDefault="00E40926" w:rsidP="00E40926">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د- وأما أحاديث الصحيحين فقد ذهب جماعة من العلماء منهم ابن الصلاح وابن تيمية وابن</w:t>
      </w:r>
      <w:r>
        <w:rPr>
          <w:rFonts w:ascii="Simplified Arabic" w:hAnsi="Simplified Arabic" w:cs="Simplified Arabic"/>
          <w:b w:val="0"/>
          <w:bCs w:val="0"/>
          <w:sz w:val="32"/>
          <w:szCs w:val="32"/>
          <w:rtl/>
        </w:rPr>
        <w:t xml:space="preserve"> كثير وكثير غيرهم من أهل الحديث والأثر وجمهور الحنابلة إلى أنها تفيد العلم القطعي، وهو الذي نراه راجحا، وذلك لما احتف بها من القرائن مثل تلقي الأمة لهما بالقبول، ودقة العمل الذي قاما عليه، واتفاق الأئمة الموثوق بهم على قبولهما ونقلهما والعمل بهما. وقال آخرون أن حكم آحادها كحكم الآحاد في غيرهما. </w:t>
      </w:r>
    </w:p>
    <w:p w:rsidR="00E40926" w:rsidRDefault="00E40926" w:rsidP="00E40926">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  وسواء أفاد الحديث الصحيح القطع أم الظن فإن القول الراجح والموافق للشواهد أن السنة النبوية لا يصح تجاوزها في التفسير، ولا يستغنى عنها أبدا، لأن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هو المبين للقرآن، وهو الواسطة بين المتكلم بالقرآن وبين الناس، فتفسيره له المرتبة الأولى، ولذا لا يصح الخوض في تفسير الآيات قبل النظر في المروي عنه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وجمع الأحاديث المتعلقة بموضوعها، والنظر في دلالتها وطرقها، لكي يتضح المعنى في </w:t>
      </w:r>
      <w:proofErr w:type="spellStart"/>
      <w:r>
        <w:rPr>
          <w:rFonts w:ascii="Simplified Arabic" w:hAnsi="Simplified Arabic" w:cs="Simplified Arabic"/>
          <w:b w:val="0"/>
          <w:bCs w:val="0"/>
          <w:sz w:val="32"/>
          <w:szCs w:val="32"/>
          <w:rtl/>
        </w:rPr>
        <w:t>ضوءها</w:t>
      </w:r>
      <w:proofErr w:type="spellEnd"/>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p>
    <w:p w:rsidR="00E40926" w:rsidRDefault="00E40926" w:rsidP="008F3D7D">
      <w:pPr>
        <w:rPr>
          <w:b/>
          <w:bCs/>
          <w:noProof w:val="0"/>
          <w:sz w:val="28"/>
          <w:szCs w:val="30"/>
          <w:lang w:eastAsia="en-US"/>
        </w:rPr>
      </w:pPr>
    </w:p>
    <w:p w:rsidR="00F97F16" w:rsidRDefault="00F97F16">
      <w:pPr>
        <w:rPr>
          <w:lang w:bidi="ar-IQ"/>
        </w:rPr>
      </w:pPr>
      <w:bookmarkStart w:id="0" w:name="_GoBack"/>
      <w:bookmarkEnd w:id="0"/>
    </w:p>
    <w:sectPr w:rsidR="00F97F16"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7D"/>
    <w:rsid w:val="008F3D7D"/>
    <w:rsid w:val="00A5414A"/>
    <w:rsid w:val="00E40926"/>
    <w:rsid w:val="00F97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7D"/>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40926"/>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7D"/>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40926"/>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7027">
      <w:bodyDiv w:val="1"/>
      <w:marLeft w:val="0"/>
      <w:marRight w:val="0"/>
      <w:marTop w:val="0"/>
      <w:marBottom w:val="0"/>
      <w:divBdr>
        <w:top w:val="none" w:sz="0" w:space="0" w:color="auto"/>
        <w:left w:val="none" w:sz="0" w:space="0" w:color="auto"/>
        <w:bottom w:val="none" w:sz="0" w:space="0" w:color="auto"/>
        <w:right w:val="none" w:sz="0" w:space="0" w:color="auto"/>
      </w:divBdr>
    </w:div>
    <w:div w:id="10308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4100</Characters>
  <Application>Microsoft Office Word</Application>
  <DocSecurity>0</DocSecurity>
  <Lines>34</Lines>
  <Paragraphs>9</Paragraphs>
  <ScaleCrop>false</ScaleCrop>
  <Company>SACC</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2020-03-23T20:41:00Z</dcterms:created>
  <dcterms:modified xsi:type="dcterms:W3CDTF">2020-03-23T20:45:00Z</dcterms:modified>
</cp:coreProperties>
</file>