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9F" w:rsidRDefault="004D051E" w:rsidP="00BF4E13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الثانية و الثلاثون)"/>
          </v:shape>
        </w:pict>
      </w:r>
    </w:p>
    <w:p w:rsidR="00AE649F" w:rsidRDefault="00AE649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E649F" w:rsidRDefault="00AE649F" w:rsidP="00AE649F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A811C6" w:rsidRDefault="003D5B80" w:rsidP="00373DE9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</w:pP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Trigonometric Integrals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 التكاملات المثلثية</w:t>
      </w: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 </w:t>
      </w:r>
    </w:p>
    <w:p w:rsidR="00CC557C" w:rsidRDefault="00CC557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هذا النوع من التكاملات المثلثية سنرى كيف يتم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الإستفادة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من نظرية كوشي للرواسب تطبيقها على عدد معــــــــين من التكاملات المحددة وبعضها تظهر في الفيزياء والتطبيقات الهندسية حيث من الصعب إيجاد التكاملات مباشرة لذلك نستخدم نظرية كوشي للرواسب.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ولحساب التكاملات من الصيغة </w:t>
      </w:r>
    </w:p>
    <w:p w:rsidR="003D5B80" w:rsidRPr="001226E4" w:rsidRDefault="004D051E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θ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θ</m:t>
                      </m:r>
                    </m:e>
                  </m:func>
                </m:e>
              </m:d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dθ</m:t>
          </m:r>
        </m:oMath>
      </m:oMathPara>
    </w:p>
    <w:p w:rsidR="003D5B80" w:rsidRPr="001226E4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0≤</m:t>
        </m:r>
        <m:r>
          <w:rPr>
            <w:rFonts w:ascii="Cambria Math" w:eastAsiaTheme="minorEastAsia" w:hAnsi="Cambria Math" w:cstheme="majorBidi"/>
            <w:sz w:val="28"/>
            <w:szCs w:val="28"/>
          </w:rPr>
          <m:t>θ≤2π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iθ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فنضع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إلى دالة معقدة بمتغير واحد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θ</m:t>
                </m:r>
              </m:e>
            </m:func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θ</m:t>
                </m:r>
              </m:e>
            </m:func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نقوم بتحويل الدالة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وكذلك نعلم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c: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=1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وهذه هندسياً تمثل معادلة دائرة نصف قطرها 1 ومركزها نقطة الأصل وتكافئ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3D5B80" w:rsidRPr="004F6F4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z=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r>
            <w:rPr>
              <w:rFonts w:ascii="Cambria Math" w:hAnsi="Cambria Math" w:cstheme="majorBidi"/>
              <w:sz w:val="28"/>
              <w:szCs w:val="28"/>
            </w:rPr>
            <m:t>i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e>
          </m:func>
        </m:oMath>
      </m:oMathPara>
    </w:p>
    <w:p w:rsidR="003D5B80" w:rsidRPr="004F6F4B" w:rsidRDefault="004D051E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-iθ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r>
          <w:rPr>
            <w:rFonts w:ascii="Cambria Math" w:hAnsi="Cambria Math" w:cstheme="majorBidi"/>
            <w:sz w:val="28"/>
            <w:szCs w:val="28"/>
          </w:rPr>
          <m:t>i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θ</m:t>
            </m:r>
          </m:e>
        </m:func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يكون                               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وبالتالي نستنتج أن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3D5B80" w:rsidRPr="004F6F4B" w:rsidRDefault="004D051E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  <m:r>
                <w:rPr>
                  <w:rFonts w:ascii="Cambria Math" w:hAnsi="Cambria Math" w:cstheme="majorBidi"/>
                  <w:sz w:val="28"/>
                  <w:szCs w:val="28"/>
                </w:rPr>
                <m:t>i</m:t>
              </m:r>
            </m:den>
          </m:f>
        </m:oMath>
      </m:oMathPara>
    </w:p>
    <w:p w:rsidR="003D5B80" w:rsidRPr="004F6F4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فيمكن حسابها حيث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</w:t>
      </w:r>
    </w:p>
    <w:p w:rsidR="003D5B80" w:rsidRPr="004F6F4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dz=i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iθ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dθ</m:t>
          </m:r>
        </m:oMath>
      </m:oMathPara>
    </w:p>
    <w:p w:rsidR="003D5B80" w:rsidRPr="004F6F4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      dθ=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أن إلى يؤدي وهذا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c: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=1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>ثم نعوض هذه العلاقات في التكامل المطلوب حسابه فنحصل على تكامل لدوال معقدة على دائرة الوحدة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ومن ثم وحسب الطرق السابقة والمعروفة لدينا يتم حساب هذا التكامل.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840CB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840CB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إحسب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3D5B80" w:rsidRPr="00FD6537" w:rsidRDefault="004D051E" w:rsidP="003D5B80">
      <w:pPr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dθ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θ</m:t>
                          </m:r>
                        </m:e>
                      </m:func>
                    </m:e>
                  </m:d>
                </m:den>
              </m:f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840CB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حسب العلاقات أعلاه يكون لدينا </w:t>
      </w:r>
    </w:p>
    <w:p w:rsidR="003D5B80" w:rsidRPr="005B070E" w:rsidRDefault="004D051E" w:rsidP="003D5B80">
      <w:pPr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dθ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θ</m:t>
                          </m:r>
                        </m:e>
                      </m:func>
                    </m:e>
                  </m:d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iz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</m:d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-2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den>
          </m:f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-4z+1</m:t>
                      </m:r>
                    </m:e>
                  </m:d>
                </m:den>
              </m:f>
            </m:e>
          </m:nary>
        </m:oMath>
      </m:oMathPara>
    </w:p>
    <w:p w:rsidR="003D5B80" w:rsidRPr="005B070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والدالة ولتكن </w:t>
      </w:r>
    </w:p>
    <w:p w:rsidR="003D5B80" w:rsidRPr="005B070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-4z+1</m:t>
                  </m:r>
                </m:e>
              </m:d>
            </m:den>
          </m:f>
        </m:oMath>
      </m:oMathPara>
    </w:p>
    <w:p w:rsidR="003D5B80" w:rsidRPr="005B070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=2∓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e>
        </m:ra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لها أقطاب بسيطة عند                                       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تقع داخل دائرة الوحدة والراسب لها هو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=2-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e>
        </m:ra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ولكن نقط القيمة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e>
                  </m:rad>
                </m:lim>
              </m:limLow>
            </m:fName>
            <m:e>
              <m:d>
                <m:dPr>
                  <m:begChr m:val=""/>
                  <m:endChr m:val="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z-i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z+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</m:rad>
                            </m:e>
                          </m:d>
                        </m:e>
                      </m:d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e>
              </m:rad>
            </m:den>
          </m:f>
        </m:oMath>
      </m:oMathPara>
    </w:p>
    <w:p w:rsidR="003E5AAB" w:rsidRPr="006615F3" w:rsidRDefault="003E5AA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 يكون التكامل حسب نظرية كوشي للرواسب كالآتي</w:t>
      </w:r>
    </w:p>
    <w:p w:rsidR="003E5AAB" w:rsidRDefault="003E5AA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4D051E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dθ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θ</m:t>
                          </m:r>
                        </m:e>
                      </m:func>
                    </m:e>
                  </m:d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-2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2πi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.</m:t>
          </m:r>
        </m:oMath>
      </m:oMathPara>
    </w:p>
    <w:p w:rsidR="00CC557C" w:rsidRDefault="00CC557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C557C" w:rsidRPr="00840CBE" w:rsidRDefault="00CC557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840CB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840CB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إحسب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التكامل الآتي </w:t>
      </w:r>
    </w:p>
    <w:p w:rsidR="003D5B80" w:rsidRPr="00840CBE" w:rsidRDefault="004D051E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dθ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1-2a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θ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</m:oMath>
      </m:oMathPara>
    </w:p>
    <w:p w:rsidR="003D5B80" w:rsidRPr="00840CB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≠</m:t>
        </m:r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∓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1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E5AAB" w:rsidRDefault="003E5AA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E5AAB" w:rsidRDefault="003E5AA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E5AAB" w:rsidRDefault="003E5AA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840CB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840CB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</w:p>
    <w:p w:rsidR="003D5B80" w:rsidRPr="00840CB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dθ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1-2a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θ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dθ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1-2a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θ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وبتعويض العلاقات السابقة في التكامل فإننا نحصل على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I=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iz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-a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z</m:t>
                                  </m:r>
                                </m:den>
                              </m:f>
                            </m:e>
                          </m:d>
                        </m:e>
                      </m:d>
                    </m:e>
                  </m:d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2a</m:t>
              </m:r>
            </m:den>
          </m:f>
          <m:nary>
            <m:naryPr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den>
                          </m:f>
                        </m:e>
                      </m:d>
                    </m:e>
                  </m:d>
                </m:den>
              </m:f>
            </m:e>
          </m:nary>
        </m:oMath>
      </m:oMathPara>
    </w:p>
    <w:p w:rsidR="00CC557C" w:rsidRPr="00525EA2" w:rsidRDefault="00CC557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525EA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  تكون لدينا حالتين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وحسب قيمة  </w:t>
      </w:r>
    </w:p>
    <w:p w:rsidR="003D5B80" w:rsidRPr="00840CB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وباستخدام نظرية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وفي هذه الحالة فإن هناك قطب بسيط داخل دائرة الوحدة عند النقطة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&gt;1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الحالة الأولى :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الرواسب نجد أن </w:t>
      </w:r>
    </w:p>
    <w:p w:rsidR="003D5B80" w:rsidRPr="00F57C1B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I=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2a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2πi 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والنتيجة النهائية يمكن كتابتها كالآتي </w:t>
      </w:r>
    </w:p>
    <w:p w:rsidR="003D5B80" w:rsidRDefault="003D5B80" w:rsidP="00CC557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I=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 a≠∓1</m:t>
          </m:r>
        </m:oMath>
      </m:oMathPara>
    </w:p>
    <w:p w:rsidR="00CC557C" w:rsidRDefault="00CC557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C557C" w:rsidRPr="00CC557C" w:rsidRDefault="00CC557C" w:rsidP="00AD4CC2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CC557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مثال: </w:t>
      </w:r>
      <w:proofErr w:type="spellStart"/>
      <w:r w:rsidR="003E5AAB">
        <w:rPr>
          <w:rFonts w:asciiTheme="majorBidi" w:eastAsiaTheme="minorEastAsia" w:hAnsiTheme="majorBidi" w:cstheme="majorBidi" w:hint="cs"/>
          <w:sz w:val="28"/>
          <w:szCs w:val="28"/>
          <w:rtl/>
        </w:rPr>
        <w:t>إحسب</w:t>
      </w:r>
      <w:proofErr w:type="spellEnd"/>
      <w:r w:rsidR="003E5AA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التكامل الآتي</w:t>
      </w:r>
    </w:p>
    <w:p w:rsidR="00CC557C" w:rsidRDefault="004D051E" w:rsidP="003B3D7F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func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</m:oMath>
      </m:oMathPara>
    </w:p>
    <w:p w:rsidR="00A633F8" w:rsidRDefault="003E5AAB" w:rsidP="003E5AAB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</w:t>
      </w:r>
      <w:r w:rsidRPr="00A633F8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 w:rsidR="00A633F8" w:rsidRPr="00A633F8">
        <w:rPr>
          <w:rFonts w:asciiTheme="majorBidi" w:eastAsiaTheme="minorEastAsia" w:hAnsiTheme="majorBidi" w:cstheme="majorBidi" w:hint="cs"/>
          <w:sz w:val="28"/>
          <w:szCs w:val="28"/>
          <w:rtl/>
        </w:rPr>
        <w:t>نضع</w:t>
      </w:r>
    </w:p>
    <w:p w:rsidR="00A633F8" w:rsidRDefault="00A633F8" w:rsidP="003E5AAB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A633F8" w:rsidRDefault="00A633F8" w:rsidP="00A633F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cos x=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,  sinx=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,    dx=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,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=1</m:t>
          </m:r>
        </m:oMath>
      </m:oMathPara>
    </w:p>
    <w:p w:rsidR="003B3D7F" w:rsidRDefault="003B3D7F" w:rsidP="003B3D7F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وبتعويض العلاقات السابقة في التكامل فإننا نحصل على </w:t>
      </w:r>
    </w:p>
    <w:p w:rsidR="003E5AAB" w:rsidRPr="00840CBE" w:rsidRDefault="00A633F8" w:rsidP="003B3D7F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func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2z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rtl/>
                    </w:rPr>
                    <m:t>.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dz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iz</m:t>
                      </m:r>
                    </m:den>
                  </m:f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+1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2z</m:t>
                          </m:r>
                        </m:den>
                      </m:f>
                    </m:e>
                  </m:d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=1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z(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+4z-1)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3E5AAB" w:rsidRPr="00525EA2" w:rsidRDefault="003B3D7F" w:rsidP="003E5AAB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ثم نحسب الرواسب</w:t>
      </w:r>
    </w:p>
    <w:p w:rsidR="003E5AAB" w:rsidRDefault="003E5AAB" w:rsidP="00A633F8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C557C" w:rsidRPr="003B3D7F" w:rsidRDefault="003B3D7F" w:rsidP="003B3D7F">
      <w:pPr>
        <w:tabs>
          <w:tab w:val="left" w:pos="5865"/>
        </w:tabs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z(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+4z-1)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=-1</m:t>
          </m:r>
        </m:oMath>
      </m:oMathPara>
    </w:p>
    <w:p w:rsidR="003B3D7F" w:rsidRPr="003B3D7F" w:rsidRDefault="003B3D7F" w:rsidP="003B3D7F">
      <w:pPr>
        <w:tabs>
          <w:tab w:val="left" w:pos="5865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z(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+4z-1)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 -2+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e>
              </m:ra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=1</m:t>
          </m:r>
        </m:oMath>
      </m:oMathPara>
    </w:p>
    <w:p w:rsidR="00CC557C" w:rsidRDefault="003B3D7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يكون </w:t>
      </w:r>
    </w:p>
    <w:p w:rsidR="003B3D7F" w:rsidRPr="003B3D7F" w:rsidRDefault="003B3D7F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I=2πi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-1+1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CC557C" w:rsidRDefault="00CC557C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52EEF" w:rsidRDefault="00E52EE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E52EEF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1E" w:rsidRDefault="004D051E" w:rsidP="005E1693">
      <w:pPr>
        <w:spacing w:after="0" w:line="240" w:lineRule="auto"/>
      </w:pPr>
      <w:r>
        <w:separator/>
      </w:r>
    </w:p>
  </w:endnote>
  <w:endnote w:type="continuationSeparator" w:id="0">
    <w:p w:rsidR="004D051E" w:rsidRDefault="004D051E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4D051E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C738A0F" wp14:editId="07844F26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D583B" w:rsidRPr="004D583B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D583B" w:rsidRPr="004D583B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1E" w:rsidRDefault="004D051E" w:rsidP="005E1693">
      <w:pPr>
        <w:spacing w:after="0" w:line="240" w:lineRule="auto"/>
      </w:pPr>
      <w:r>
        <w:separator/>
      </w:r>
    </w:p>
  </w:footnote>
  <w:footnote w:type="continuationSeparator" w:id="0">
    <w:p w:rsidR="004D051E" w:rsidRDefault="004D051E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05AE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5E26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51E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83B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25F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C7D1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603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0DED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C117-48DE-4B67-9C98-7F98EC70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6</cp:revision>
  <cp:lastPrinted>2018-06-23T17:28:00Z</cp:lastPrinted>
  <dcterms:created xsi:type="dcterms:W3CDTF">2020-03-22T15:31:00Z</dcterms:created>
  <dcterms:modified xsi:type="dcterms:W3CDTF">2020-03-26T09:02:00Z</dcterms:modified>
</cp:coreProperties>
</file>