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D" w:rsidRDefault="005C4FED">
      <w:pPr>
        <w:rPr>
          <w:rFonts w:hint="cs"/>
          <w:b/>
          <w:bCs/>
          <w:sz w:val="40"/>
          <w:szCs w:val="40"/>
          <w:rtl/>
          <w:lang w:bidi="ar-IQ"/>
        </w:rPr>
      </w:pPr>
    </w:p>
    <w:p w:rsidR="002D51AE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وزارة التعليم العالي والبحث العلمي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          جامعة الانبار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 كلية التربية الأساسية / حديثة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Pr="007D646A" w:rsidRDefault="001D04BD" w:rsidP="00042CC3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>اسم الم</w:t>
      </w:r>
      <w:r w:rsidR="00042CC3">
        <w:rPr>
          <w:rFonts w:hint="cs"/>
          <w:b/>
          <w:bCs/>
          <w:sz w:val="40"/>
          <w:szCs w:val="40"/>
          <w:rtl/>
          <w:lang w:bidi="ar-IQ"/>
        </w:rPr>
        <w:t>ــــــادة</w:t>
      </w: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: التفــســير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>المـــــرحــــلـة  : الـثالـثة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الــقــســــــــــم  : اللغة العربية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>إعداد الأس</w:t>
      </w:r>
      <w:r w:rsidR="007D646A">
        <w:rPr>
          <w:rFonts w:hint="cs"/>
          <w:b/>
          <w:bCs/>
          <w:sz w:val="40"/>
          <w:szCs w:val="40"/>
          <w:rtl/>
          <w:lang w:bidi="ar-IQ"/>
        </w:rPr>
        <w:t>ـ</w:t>
      </w:r>
      <w:r w:rsidRPr="007D646A">
        <w:rPr>
          <w:rFonts w:hint="cs"/>
          <w:b/>
          <w:bCs/>
          <w:sz w:val="40"/>
          <w:szCs w:val="40"/>
          <w:rtl/>
          <w:lang w:bidi="ar-IQ"/>
        </w:rPr>
        <w:t>تاذ  : د.معتمد صائب دللي</w:t>
      </w:r>
    </w:p>
    <w:p w:rsidR="001D04BD" w:rsidRPr="007D646A" w:rsidRDefault="00042CC3" w:rsidP="00042CC3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عنوان</w:t>
      </w:r>
      <w:r w:rsidR="001D04BD" w:rsidRPr="007D646A">
        <w:rPr>
          <w:rFonts w:hint="cs"/>
          <w:b/>
          <w:bCs/>
          <w:sz w:val="40"/>
          <w:szCs w:val="40"/>
          <w:rtl/>
          <w:lang w:bidi="ar-IQ"/>
        </w:rPr>
        <w:t xml:space="preserve"> المحاضرة : </w:t>
      </w:r>
      <w:r w:rsidRPr="00042CC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نشأة التفسير</w:t>
      </w: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B0144D" w:rsidRDefault="00B0144D" w:rsidP="00B0144D">
      <w:pPr>
        <w:tabs>
          <w:tab w:val="left" w:pos="2947"/>
          <w:tab w:val="center" w:pos="4873"/>
        </w:tabs>
        <w:rPr>
          <w:rFonts w:ascii="Haettenschweiler" w:hAnsi="Haettenschweiler" w:cs="Monotype Koufi"/>
          <w:sz w:val="92"/>
          <w:szCs w:val="92"/>
          <w:rtl/>
          <w:lang w:bidi="ar-IQ"/>
        </w:rPr>
      </w:pPr>
      <w:r>
        <w:rPr>
          <w:rFonts w:ascii="Haettenschweiler" w:hAnsi="Haettenschweiler" w:cs="Monotype Koufi"/>
          <w:sz w:val="92"/>
          <w:szCs w:val="92"/>
          <w:rtl/>
          <w:lang w:bidi="ar-IQ"/>
        </w:rPr>
        <w:tab/>
      </w:r>
    </w:p>
    <w:p w:rsidR="00B0144D" w:rsidRDefault="00B0144D" w:rsidP="00B0144D">
      <w:pPr>
        <w:tabs>
          <w:tab w:val="left" w:pos="2947"/>
          <w:tab w:val="center" w:pos="4873"/>
        </w:tabs>
        <w:rPr>
          <w:rFonts w:ascii="Haettenschweiler" w:hAnsi="Haettenschweiler" w:cs="Monotype Koufi"/>
          <w:sz w:val="92"/>
          <w:szCs w:val="92"/>
          <w:rtl/>
          <w:lang w:bidi="ar-IQ"/>
        </w:rPr>
      </w:pPr>
    </w:p>
    <w:p w:rsidR="001D04BD" w:rsidRPr="00B0144D" w:rsidRDefault="00042CC3" w:rsidP="00042CC3">
      <w:pPr>
        <w:tabs>
          <w:tab w:val="left" w:pos="2947"/>
          <w:tab w:val="center" w:pos="4873"/>
        </w:tabs>
        <w:jc w:val="center"/>
        <w:rPr>
          <w:rFonts w:ascii="Haettenschweiler" w:hAnsi="Haettenschweiler" w:cs="Monotype Koufi"/>
          <w:sz w:val="92"/>
          <w:szCs w:val="92"/>
          <w:rtl/>
          <w:lang w:bidi="ar-IQ"/>
        </w:rPr>
      </w:pPr>
      <w:r>
        <w:rPr>
          <w:rFonts w:ascii="Haettenschweiler" w:hAnsi="Haettenschweiler" w:cs="Monotype Koufi" w:hint="cs"/>
          <w:sz w:val="92"/>
          <w:szCs w:val="92"/>
          <w:rtl/>
          <w:lang w:bidi="ar-IQ"/>
        </w:rPr>
        <w:t>المحاضرة الثانية</w:t>
      </w:r>
    </w:p>
    <w:p w:rsidR="001D04BD" w:rsidRDefault="00042CC3" w:rsidP="00042CC3">
      <w:pPr>
        <w:jc w:val="center"/>
        <w:rPr>
          <w:rFonts w:ascii="Haettenschweiler" w:hAnsi="Haettenschweiler" w:cs="Monotype Koufi"/>
          <w:sz w:val="92"/>
          <w:szCs w:val="92"/>
          <w:rtl/>
          <w:lang w:bidi="ar-IQ"/>
        </w:rPr>
      </w:pPr>
      <w:r>
        <w:rPr>
          <w:rFonts w:ascii="Haettenschweiler" w:hAnsi="Haettenschweiler" w:cs="Monotype Koufi" w:hint="cs"/>
          <w:sz w:val="92"/>
          <w:szCs w:val="92"/>
          <w:rtl/>
          <w:lang w:bidi="ar-IQ"/>
        </w:rPr>
        <w:t>نشأة التفسير</w:t>
      </w:r>
    </w:p>
    <w:p w:rsidR="00B0144D" w:rsidRDefault="00B0144D" w:rsidP="00B0144D">
      <w:pPr>
        <w:jc w:val="center"/>
        <w:rPr>
          <w:rFonts w:ascii="Haettenschweiler" w:hAnsi="Haettenschweiler" w:cs="Monotype Koufi"/>
          <w:sz w:val="92"/>
          <w:szCs w:val="92"/>
          <w:rtl/>
          <w:lang w:bidi="ar-IQ"/>
        </w:rPr>
      </w:pPr>
    </w:p>
    <w:p w:rsidR="00B0144D" w:rsidRDefault="00B0144D" w:rsidP="00B0144D">
      <w:pPr>
        <w:jc w:val="center"/>
        <w:rPr>
          <w:rFonts w:ascii="Haettenschweiler" w:hAnsi="Haettenschweiler" w:cs="Monotype Koufi"/>
          <w:sz w:val="92"/>
          <w:szCs w:val="92"/>
          <w:rtl/>
          <w:lang w:bidi="ar-IQ"/>
        </w:rPr>
      </w:pPr>
    </w:p>
    <w:p w:rsidR="00B0144D" w:rsidRDefault="00B0144D" w:rsidP="00B0144D">
      <w:pPr>
        <w:rPr>
          <w:rFonts w:ascii="Haettenschweiler" w:hAnsi="Haettenschweiler" w:cs="Monotype Koufi"/>
          <w:sz w:val="92"/>
          <w:szCs w:val="92"/>
          <w:rtl/>
          <w:lang w:bidi="ar-IQ"/>
        </w:rPr>
      </w:pPr>
    </w:p>
    <w:p w:rsidR="00A60851" w:rsidRPr="00042CC3" w:rsidRDefault="00B07EFA" w:rsidP="00C501D4">
      <w:pPr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 w:rsidRPr="00042CC3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lastRenderedPageBreak/>
        <w:t>نشأة</w:t>
      </w:r>
      <w:r w:rsidR="00A60851" w:rsidRPr="00042CC3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 التفسير</w:t>
      </w:r>
    </w:p>
    <w:p w:rsidR="00E213C8" w:rsidRPr="00042CC3" w:rsidRDefault="00A60851" w:rsidP="00C501D4">
      <w:pPr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ترتبط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نشأة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هذا العلم بما بينه الرسول (ص) للصحابة الكرام مما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أشكل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عليهم من المعنى سواء كان في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الألفاظ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أو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الآيات.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وبعد انتقال الرسول الكريم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إلى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الرفيق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الأعلى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كان الصحابة رضي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الله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عنهم 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وأرضاهم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إلى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من نقل عنه ولكن كان لانتشارهم في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أرجاء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المعمورة لنشر دين الله , واختلاط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الأمم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, وتطور الحياة , وحدوث مستجدات فرضت عليهم معرفة حكم القران في تلكم المستجدات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وأحوجتهم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لبيان ما خفي عليهم فهمه مما لم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يجدو</w:t>
      </w:r>
      <w:r w:rsidR="00B07EFA" w:rsidRPr="00042CC3">
        <w:rPr>
          <w:rFonts w:asciiTheme="minorBidi" w:hAnsiTheme="minorBidi" w:hint="eastAsia"/>
          <w:sz w:val="40"/>
          <w:szCs w:val="40"/>
          <w:rtl/>
          <w:lang w:bidi="ar-IQ"/>
        </w:rPr>
        <w:t>ا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لها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إحكام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في القران والسنة , 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ولذلك كانوا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يرجعون</w:t>
      </w:r>
      <w:r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للغة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وأعمال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الفكر المسترشدين بهدي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الشريعة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الغراء , وكان للصحابة الكرام باع طويلة في فهم القران لما اتصفوا به من سبق في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الإسلام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, ومصاحبة للرسول الكريم , ومعرفة واسعة باللغة يقول مجاهد المتوفى سنة 104هـ . (لا يحل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لأحد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يؤمن بالله واليوم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الأخر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أن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يتكلم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في الكتاب الله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إذا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لم يكن عالما بلغات العرب ) ومواصفاتهم المتقدمة كانوا اعلم من غيرهم ,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ولأنهم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شهدوا التنزيل واطلعوا على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أسباب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نزول  الفران , زيادة على حرصهم الشديد لمعرفته مهما بلغت الصعوبات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وناءى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المكان . فهذا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عبد الل</w:t>
      </w:r>
      <w:r w:rsidR="00B07EFA" w:rsidRPr="00042CC3">
        <w:rPr>
          <w:rFonts w:asciiTheme="minorBidi" w:hAnsiTheme="minorBidi" w:hint="eastAsia"/>
          <w:sz w:val="40"/>
          <w:szCs w:val="40"/>
          <w:rtl/>
          <w:lang w:bidi="ar-IQ"/>
        </w:rPr>
        <w:t>ه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بن مسعود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المتوفى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سنة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32هـ.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يقول : ( والذي لا اله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إلا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غيره ما نزلت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أية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من كتاب الله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إلا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وانأ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اعلم فيم نزلت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وأين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نزلت , ولو اعلم مكان احد اعلم بكتاب الله مني تناله المطايا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لأتيته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) وقد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ستشهر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في تفسير 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القران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بهذ</w:t>
      </w:r>
      <w:r w:rsidR="00B07EFA" w:rsidRPr="00042CC3">
        <w:rPr>
          <w:rFonts w:asciiTheme="minorBidi" w:hAnsiTheme="minorBidi" w:hint="eastAsia"/>
          <w:sz w:val="40"/>
          <w:szCs w:val="40"/>
          <w:rtl/>
          <w:lang w:bidi="ar-IQ"/>
        </w:rPr>
        <w:t>ه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المرحلة عدد كبير من الصحابة الكرام , ويعد </w:t>
      </w:r>
      <w:proofErr w:type="spellStart"/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>عبدالله</w:t>
      </w:r>
      <w:proofErr w:type="spellEnd"/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بن عباس المتوفى سنة 68هـ .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أشهرهم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,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وأطولهم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باعا في التفسير بفضل دعاء النبي محمد (ص) له بالعلم بقوله : (اللهم فقه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في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الدين وعلمه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التأويل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)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إما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في عصر التابعين فقد سار التفسير على ما هو عليه في عصر الصحابة الكرام يرجعون للكتاب المجيد , وما ورد عن الرسول محمد (ص) وصحابته الكرام , زيادة على اجتهادهم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وأرائهم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حول ما غمض معناه وقد نشط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التفسير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في هذا العصر لازدياد الحاجة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إليه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وتميزت ثلاث مراكز ازدهر فيها التفسير واتسع نطاقه هي : مكة والمدينة والكوفة , كما شهد العصر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أولى</w:t>
      </w:r>
      <w:r w:rsidR="00C73567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محاولات تدوين التفسير ضمن تدوين السنة المطهرة , 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ثم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اصب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علما منفردا . ثم قام تابعو التابعين بجمع ما ورد عن الصحابة الكرام والتابعين رضي الله عنهم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أجمعين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واتسم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هذا العصر بظهور محاولات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جريئة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تميزت بترجيح احد المنقولات اعتمادا على السند واللغة وليس هذا تفسيرا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إلا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بالرأي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, ويعد ابن جرير الطبري المتوفى سنة 310هـ, في مقدمة من سلك هذا المنهج وهكذا بتقدم الزمن كثر التفسير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بالرأي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حتى كاد يطغى على التفسير النقلي , ونتيجة اتساع العلوم , وتعددت المعارف حيث ( صار اللسان وعلومه صناعة)</w:t>
      </w:r>
      <w:r w:rsid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فقد تأثرت مناهج المفسرين بثقافاتهم فتعددت </w:t>
      </w:r>
      <w:r w:rsidR="00B07EFA" w:rsidRPr="00042CC3">
        <w:rPr>
          <w:rFonts w:asciiTheme="minorBidi" w:hAnsiTheme="minorBidi" w:hint="cs"/>
          <w:sz w:val="40"/>
          <w:szCs w:val="40"/>
          <w:rtl/>
          <w:lang w:bidi="ar-IQ"/>
        </w:rPr>
        <w:t>الاتجاهات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t xml:space="preserve"> التفسيرية حسب براعة وثقافة أصحاب كل علم ’ فظهر </w:t>
      </w:r>
      <w:r w:rsidR="00CD0DD2" w:rsidRPr="00042CC3"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الاتجاه الفقهي والبياني والعلمي والصوفي والاجتماعي والموضوعي وغيرها على نحو ما نراه اليوم </w:t>
      </w:r>
      <w:r w:rsidR="00C501D4" w:rsidRPr="00042CC3">
        <w:rPr>
          <w:rFonts w:asciiTheme="minorBidi" w:hAnsiTheme="minorBidi" w:hint="cs"/>
          <w:sz w:val="40"/>
          <w:szCs w:val="40"/>
          <w:rtl/>
          <w:lang w:bidi="ar-IQ"/>
        </w:rPr>
        <w:t>.</w:t>
      </w:r>
    </w:p>
    <w:sectPr w:rsidR="00E213C8" w:rsidRPr="00042CC3" w:rsidSect="00042CC3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6F4"/>
    <w:multiLevelType w:val="hybridMultilevel"/>
    <w:tmpl w:val="DA50D640"/>
    <w:lvl w:ilvl="0" w:tplc="CAF82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04BD"/>
    <w:rsid w:val="00001279"/>
    <w:rsid w:val="000056A4"/>
    <w:rsid w:val="00010024"/>
    <w:rsid w:val="00042CC3"/>
    <w:rsid w:val="000F6B86"/>
    <w:rsid w:val="00192854"/>
    <w:rsid w:val="001C7F7A"/>
    <w:rsid w:val="001D04BD"/>
    <w:rsid w:val="002533CD"/>
    <w:rsid w:val="00275B87"/>
    <w:rsid w:val="002D51AE"/>
    <w:rsid w:val="00374BDE"/>
    <w:rsid w:val="003B1D06"/>
    <w:rsid w:val="003B73FC"/>
    <w:rsid w:val="00417201"/>
    <w:rsid w:val="00432EA5"/>
    <w:rsid w:val="00460FFC"/>
    <w:rsid w:val="004A4058"/>
    <w:rsid w:val="004C1956"/>
    <w:rsid w:val="0055673B"/>
    <w:rsid w:val="005C4FED"/>
    <w:rsid w:val="006C4462"/>
    <w:rsid w:val="00771D80"/>
    <w:rsid w:val="007A090F"/>
    <w:rsid w:val="007C1AC2"/>
    <w:rsid w:val="007D646A"/>
    <w:rsid w:val="00837899"/>
    <w:rsid w:val="008509BD"/>
    <w:rsid w:val="008564A8"/>
    <w:rsid w:val="00886C03"/>
    <w:rsid w:val="008A0558"/>
    <w:rsid w:val="009135FB"/>
    <w:rsid w:val="0093483F"/>
    <w:rsid w:val="00951CFF"/>
    <w:rsid w:val="00A11828"/>
    <w:rsid w:val="00A43320"/>
    <w:rsid w:val="00A60851"/>
    <w:rsid w:val="00B0144D"/>
    <w:rsid w:val="00B07EFA"/>
    <w:rsid w:val="00B516EB"/>
    <w:rsid w:val="00BC76E8"/>
    <w:rsid w:val="00BE1441"/>
    <w:rsid w:val="00C501D4"/>
    <w:rsid w:val="00C5302F"/>
    <w:rsid w:val="00C73567"/>
    <w:rsid w:val="00CA4109"/>
    <w:rsid w:val="00CD0DD2"/>
    <w:rsid w:val="00D31D56"/>
    <w:rsid w:val="00D35B48"/>
    <w:rsid w:val="00DA3B3C"/>
    <w:rsid w:val="00DC3A17"/>
    <w:rsid w:val="00DE6C9C"/>
    <w:rsid w:val="00E213C8"/>
    <w:rsid w:val="00E41488"/>
    <w:rsid w:val="00EA4511"/>
    <w:rsid w:val="00ED650A"/>
    <w:rsid w:val="00F0273B"/>
    <w:rsid w:val="00F6085B"/>
    <w:rsid w:val="00F9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4F43-2959-4029-8FEC-9191A7F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2020-03-21T15:47:00Z</dcterms:created>
  <dcterms:modified xsi:type="dcterms:W3CDTF">2020-03-22T22:52:00Z</dcterms:modified>
</cp:coreProperties>
</file>